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/>
      <w:bookmarkStart w:id="0" w:name="sub_1082"/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ПРОЕКТ</w:t>
      </w:r>
      <w:bookmarkEnd w:id="0"/>
      <w:r/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Паспорт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«Развитие жилищно-коммунального комплекса и повышение энергетической эффективности в городе Нефтеюганске»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Основные положения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0" w:type="auto"/>
        <w:tblCellSpacing w:w="0" w:type="dxa"/>
        <w:tblInd w:w="-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ook w:val="04A0" w:firstRow="1" w:lastRow="0" w:firstColumn="1" w:lastColumn="0" w:noHBand="0" w:noVBand="1"/>
      </w:tblPr>
      <w:tblGrid>
        <w:gridCol w:w="4026"/>
        <w:gridCol w:w="10543"/>
      </w:tblGrid>
      <w:tr>
        <w:tblPrEx/>
        <w:trPr>
          <w:tblCellSpacing w:w="0" w:type="dxa"/>
          <w:trHeight w:val="574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Куратор муниципальной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Временно исполняющий обязанности заместителя главы города - директора департамента жилищно-коммунального хозяйства администрации города Нефтеюганска Иван Сергеевич Старожук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850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Департамент жилищно-коммунального хозяйства администрации города Нефтеюганска (далее-ДЖКХ)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Временно исполняющий обязанности заместителя главы города - директора департамента жилищно-коммунального хозяйства администрации города Нефтеюганска Иван Сергеевич Старожук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828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Этап I: 2018 год – 2020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Этап II: 2021 – 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Этап III: 2026 – 2030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95"/>
        </w:trPr>
        <w:tc>
          <w:tcP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Цели муниципальной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1.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надежности и качества предоставления жилищно-коммунальных услуг и развития.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406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2.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доступности и качества жилищных услуг.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65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3.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Энергосбережение.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72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4.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качества условий проживания населения за счет формирования благоприятной среды проживания граждан.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47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5.Обеспечение реализации муниципальной программы.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347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6 Обеспечение надежности и качества поставки коммунальных ресурсов.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281"/>
        </w:trPr>
        <w:tc>
          <w:tcP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Цель 7. Эффективное осуществление использования, защиты, охраны и обустройства городских лесов, а также создание условия для безопасного отдыха населения.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5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Направления (подпрограммы) муниципальной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«Создание условий для обеспечения качественными коммунальными услугами»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«Создание условий для обеспечения доступности и повышения качества жилищных услуг»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3 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«Повышение энергоэффективности в отраслях экономики»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5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реализации муниципальной программы»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6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Направление (Подпрограмма) 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«Обустройство, использование, защита и охрана городских лесов»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726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12 142 882,67336 тыс.руб.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blCellSpacing w:w="0" w:type="dxa"/>
          <w:trHeight w:val="1135"/>
        </w:trPr>
        <w:tc>
          <w:tcPr>
            <w:tcW w:w="41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Связь с национальными целями развития Российской Федерации / Региональный проект/ Государственная программа Ханты-Мансийского автономного округа - Югры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09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Национальная цель Российской Федерации: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Национальный проект Российской Федерации «Инфраструктура для жизни»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-Региональный проект 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-Государственная программа ХМАО-Югры «Пространственное развитие и 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-Региональный проект «Модернизация коммунальной инфраструктуры»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6011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-Региональный проект «Создание (реконструкция) коммунальных объектов»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-Государственная программа ХМАО-Югры «Строительство»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tabs>
          <w:tab w:val="left" w:pos="5190" w:leader="none"/>
        </w:tabs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Показатели муниципальной программы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</w:p>
    <w:tbl>
      <w:tblPr>
        <w:tblpPr w:horzAnchor="margin" w:tblpX="-861" w:vertAnchor="text" w:tblpY="568" w:leftFromText="180" w:topFromText="0" w:rightFromText="180" w:bottomFromText="0"/>
        <w:tblW w:w="161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992"/>
        <w:gridCol w:w="851"/>
        <w:gridCol w:w="1135"/>
        <w:gridCol w:w="1135"/>
        <w:gridCol w:w="707"/>
        <w:gridCol w:w="993"/>
        <w:gridCol w:w="992"/>
        <w:gridCol w:w="851"/>
        <w:gridCol w:w="849"/>
        <w:gridCol w:w="851"/>
        <w:gridCol w:w="851"/>
        <w:gridCol w:w="850"/>
        <w:gridCol w:w="992"/>
        <w:gridCol w:w="850"/>
        <w:gridCol w:w="709"/>
      </w:tblGrid>
      <w:tr>
        <w:tblPrEx/>
        <w:trPr>
          <w:trHeight w:val="558"/>
          <w:tblHeader/>
        </w:trPr>
        <w:tc>
          <w:tcPr>
            <w:tcW w:w="7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/>
            <w:bookmarkStart w:id="1" w:name="_Hlk212650555"/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gridSpan w:val="6"/>
            <w:tcW w:w="53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Значение показателя по годам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Документ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Информационная система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912"/>
          <w:tblHeader/>
        </w:trPr>
        <w:tc>
          <w:tcPr>
            <w:tcW w:w="70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значение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год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-2030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12"/>
          <w:tblHeader/>
        </w:trPr>
        <w:tc>
          <w:tcPr>
            <w:tcW w:w="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right="-21"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contextualSpacing/>
              <w:ind w:left="27"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ind w:left="-2"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10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12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left="-30"/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</w:rPr>
            </w:r>
          </w:p>
        </w:tc>
      </w:tr>
      <w:tr>
        <w:tblPrEx/>
        <w:trPr>
          <w:trHeight w:val="408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1 «Обеспечение надежности и качества предоставления жилищно-коммунальных услуг и развития»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реконструированных объектов коммунального значения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ГП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10.11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 561-п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градостроительства и земельных отношений (далее-ДГиЗО)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Процент обеспечения помывок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п.15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Думы города Нефтеюганска от 25.04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№ 276-V «О дополнительных мерах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поддержки для отдельных категорий граждан в городе Нефтеюганске»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 подключенных к сетям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централизованной системы водоотведения на территории города Нефтеюганска (не менее 100% домов от количества домов, предусмотренных графиком откачки и вывоза бытовых сточных вод).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газоснабжением территории города Нефтеюганска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Км.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0,112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3,06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10.11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 561-п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бесперебойной работы объекта «Фильтровальная станция»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Пп.4 п.1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местного самоуправления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п.2.1, п.2.29а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Увеличение протяженности построенных сетей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метр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608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608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города Нефтеюганска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279-р от 22.10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отсутствия просроченной (два и более месяцев) задолженности за потребленный топливно-энергический ресурс, да/нет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-11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дизельным топливом котельных, при условии перевода котлов на резервный вид топлива, не менее 100% от потребности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1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-11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1.9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Гарантированное предоставление услуг населению в сферах тепло-, водоснабжения и водоотведения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1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right="-115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8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2 «Повышение доступности и качества жилищных услуг»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отремонтированных жилых помещений муниципального жилищного фонда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98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ч.3 ст. 156 ЖК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менее 100%) от работ и услуг, предусмотренных договором (управления или содержания)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ч.3 ст. 156 ЖК РФ, ч.4 ст.155 ЖК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муниципального имущества (далее-ДМИ)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Исполнение запланированных работ по проведению капитального ремонта в МКД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вследствие возникновения неотложной необходимости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ч.1 ст. 14 ЖК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8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3 «Энергосбережение»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96,4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по делам администрации (далее-ДДА)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образования (далее-ДО)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Комитет физической культуры и спорта (далее-КФКиС)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Комитет культуры и туризма (далее-ККиТ)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Организации коммунального комплекса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(далее-ОКК)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Управляющие компании товарищества собственников жилья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(далее-УК и ТСЖ)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Ресурс снабжающие организации (далее-РО)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82,6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83,20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Доля объема холодной воды, расчеты за которую осуществляются с использованием приборов учета, в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общем объеме воды,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потребляемой (используемой) на территории муниципального образования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93,4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93,6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84,5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85,5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97,0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электрической энергии на снабжение органов местного самоуправления и муниципальных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учреждений (в расчете на 1 кв. метр общей площади)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кВт*ч/м²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48,5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48,44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тепловой энергии на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снабжение органов местного самоуправления 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и муниципальных учреждений (в расчете на 1 кв. метр общей площади)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Гкал/м²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холодной воды на снабжение органов местного самоуправления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и муниципальных учреждений (в расчете на 1 человека)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м³/чел.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4,75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4,72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горячей воды на снабжение органов местного самоуправления и муниципальных учреждений (в расчете на 1 человека)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м³/чел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      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тепловой энергии в многоквартирных домах (в расчете на 1 кв. метр общей площади)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Гкал/м²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0,34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 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холодной воды в многоквартирных домах (в расчете на 1 жителя)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м³/чел.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30,6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горячей воды в многоквартирных домах (в расчете на 1 жителя)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м³/чел.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15,17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Удельный расход электрической энергии в многоквартирных домах (в расчете на 1 кв. метр общей площади)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кВт*ч/м²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 и 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потерь тепловой энергии при ее передаче в общем объеме переданной тепловой энергии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%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9,36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потерь воды при ее передаче в общем объеме переданной воды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%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13,1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13,1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кВт*ч/куб.м</w:t>
            </w: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0,34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Правительства РФ от 11.02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 № 161.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3.17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Доля замены светильников на светодиодные, расположенных на улично-дорожной сети города Нефтеюганска (не менее 75% от общего количества)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администрации города Неф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теюганска от 24.05. 2024 №1024-п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8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4 «Повышение качества условий проживания населения за счет формирования благоприятной среды проживания граждан»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Площадь земель общего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пользования, подлежащая содержанию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1 977,73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1 977,73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2 275, 83753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2 275, 83753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2 275, 83753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2 275, 83753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2 275, 83753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Площадь земель общего пользования, подлежащая содержанию в зимний период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591,56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1 151,650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отловленных безнадзорных животных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180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215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ст.37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  <w:t xml:space="preserve">Закон ХМАО – Югры от 10.12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  <w:t xml:space="preserve">19 №89-оз «О наделе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  <w:t xml:space="preserve">нии органов местного самоуправления муниципальных образований ХМАО-Югры отдельным государственным полномочием ХМАО-Югры по организации мероприятий при осуществлении деятельности по обращению с животными без 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  <w:t xml:space="preserve">владельцев»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Содержание животных, оставленных в приюте на пожизненном содержании, находящихся в муниципальной собственности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246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270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ст.37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 231 Гражданского кодекса Российской Федерации (часть первая)» от 30.11.1994 N 51-ФЗ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Ликвидация несанкционированных свалок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тонн.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1010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10 000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7 200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1 414,216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35,848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35,848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35,848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пп.11,24 п.1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власти"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Площадь проведенной дезинфекции, дератизации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4436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4436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Закон ХМАО-Югры от 23.12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16 №102-оз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мочиями по организации осуществления мероприятий по проведению дезинсекции и дератизации в Ханты-мансийском автономном округе – Югре»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Обеспечение надлежащего содержания модульных туалетов на территории города Нефтеюганска (не менее 100% от предусмотренных регламентом работ)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п.11, п.15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зации местного самоуправления в РФ».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п.2.12,п.3.4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Санитарная очистка береговой линии от мусора в границах города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км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5,3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5,3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Ханты-Мансийского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автономного округа – Югры от 10.11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№566-п «О государственной программе Ханты-Мансийского автономного круга – Югры «Экологическая безопасность»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отремонтированных детских игровых площадок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п.58.7,ст.57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отремонтированных спортивных площадок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п.2.12,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ст.32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п.58.7,ст.57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ФЗ от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20.03. 2025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№ 33-ФЗ 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Устройство покрытия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пешеходных дорожек, тротуаров (в т.ч., ремонт)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279,54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1 050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Устройство асфальтобетонного покрытия проездов (в т.ч. ремонт)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166,372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13 500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13 500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13 500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13 500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установленных детских игровых площадок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highlight w:val="yellow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highlight w:val="yellow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установленных спортивных площадок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высаженных деревьев и кустарников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10/300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310/300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45/10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п.2.5,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ст.58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Процент горения (не менее 95%) от всех объектов уличного, дворового освещения 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иллюминации в городе Нефтеюганске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п.4 ст.16 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Общая площадь восстановленных, в том числе рекультивированных земель подверженных негативному воздействию накопленного вреда окружающей среде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га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Указ президента РФ от 07.05.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2024 года № 309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«О национальных целях развития РФ на период до 2030 года и на перспективу до 2036 года»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благоустроенных дворовых и общественных территорий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Убывания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Указ президента РФ от 07.05.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2024 года № 309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«О национальных целях развития РФ на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период до 2030 года и на перспективу до 2036 года»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Правит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ельства ХМАО-Югры от 10.11.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2023 № 553-п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Национальный проект «Инфраструктура для жизни»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 созданию комфортной городской среды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Указ президента РФ от 07.05.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2024 года № 309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«О национальных целях развития РФ на период до 2030 года и на перспективу до 2036 года»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Национальный проект «Инфраструктура для жизни»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установленных контейнерных площадок на территории города Нефтеюганска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п.3.7,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приобретенных и установленных бетонных ограждений (полусфер)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Наличие у получателя субсидии проектно-изыск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ательской работы по рекультивации объекта «Полигон по обезвреживанию твердых бытовых отходов, расположенного по адресу: ХМАО – Югра, Нефтеюганский район, правая сторона 24 км автодороги государственной экологической экспертизы и сметно-ценовой документации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Наличие/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отсутствие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Наличие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06.10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03 № 131-ФЗ «Об общих принципах организации местного самоуправления в РФ».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п.3,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ст.37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Дезинсекция и дератизация контейнерных площадок для накопления ТКО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739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п.3.4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Приобретение и установка урн для мусора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Приобретение контейнеров для накопления ТКО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п.3.7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4.26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Устройство ледовых городков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контейнеров/бункеров для накопления ТКО подлежащих промывке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731/8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4.28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Количество контейнерных площадок, подлежащих содержанию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Ст. 210 ч. 1 ГК РФ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5 «Обеспечение реализации муниципальной программы»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Batang" w:cs="Times New Roman"/>
                <w:sz w:val="20"/>
                <w:szCs w:val="20"/>
                <w:lang w:eastAsia="ko-KR"/>
              </w:rPr>
              <w:t xml:space="preserve"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ВДЛ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ind w:right="-10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Распоряжение Правительства ХМАО – Югры от 15.03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13 N 92-рп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8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6 «Обеспечение надежности и качества поставки коммунальных ресурсов»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Возрастания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2,6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2,8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2,9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3,1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3,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10.11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 561-п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20.01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№27-п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Национальный проект «Инфраструктура для жизни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6.2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10.11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 561-п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общих принципах организации местного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6.3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Доля населения,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Постановление ХМАО-Югры от 10.11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23 № 561-п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ст.32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ФЗ от 20.03. 2025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33-ФЗ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общих принципах организации местно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самоуправления в единой системе публичной власти"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gridSpan w:val="17"/>
            <w:tcW w:w="1615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Цель 7 «Эффективное осуществление использования, защиты, охраны и обустройства городских лесов, а также создание условия для безопасного отдыха населения»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7.1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Устройство минерализованной полосы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Км.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2,2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Решение думы города Нефтеюганска от 23.12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. 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13 №727 «Об утверждении Правил благоустройства территории муниципального образования город Нефте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юганск»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bookmarkEnd w:id="1"/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План достижения показателе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й муниципальной программы в 202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году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right="-31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W w:w="519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9"/>
        <w:gridCol w:w="3700"/>
        <w:gridCol w:w="1205"/>
        <w:gridCol w:w="1353"/>
        <w:gridCol w:w="542"/>
        <w:gridCol w:w="542"/>
        <w:gridCol w:w="542"/>
        <w:gridCol w:w="542"/>
        <w:gridCol w:w="542"/>
        <w:gridCol w:w="557"/>
        <w:gridCol w:w="551"/>
        <w:gridCol w:w="542"/>
        <w:gridCol w:w="593"/>
        <w:gridCol w:w="566"/>
        <w:gridCol w:w="609"/>
        <w:gridCol w:w="2204"/>
      </w:tblGrid>
      <w:tr>
        <w:tblPrEx/>
        <w:trPr>
          <w:trHeight w:val="349"/>
          <w:tblHeader/>
        </w:trPr>
        <w:tc>
          <w:tcPr>
            <w:tcW w:w="18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/>
            <w:bookmarkStart w:id="2" w:name="_Hlk215236064"/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№ п/п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Цели/показатели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44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Единица измерения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(по ОКЕИ)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1"/>
            <w:tcW w:w="2024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Плановые значения по месяцам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На конец 2026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 года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661"/>
          <w:tblHeader/>
        </w:trPr>
        <w:tc>
          <w:tcPr>
            <w:tcW w:w="18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44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нв.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Фев.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Март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пр.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Май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юнь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юль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вг.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Сен.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Окт.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Ноя.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надежности и качества предоставления жилищно-коммунальных услуг и развития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Процент обеспечения помывок льготных категорий граждан (не менее 100%) от всех обратившихся за м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ерами социальной поддержки в виде льготного пользования услугами городской бани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не подключенных к сетям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централизованной системы водоотведения на территории города Нефтеюганска (не менее 100% домов от количества домов, предусмотренных графиком откачки и вывоза бытовых сточных вод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).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945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Увеличение протяженности построенных сетей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метр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608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279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отсутствия просроченной (два и более месяцев) задолженности за потребленный топливно-энергический ресурс, да/нет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Да/нет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279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дизельным топливом котельных, при условии перевода котлов на резервный вид топлива, не менее 100% от потребности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279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Гарантированное предоставление услуг населению в сферах тепло-, водоснабжения и водоотведения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491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Повышение доступности и качества жилищных услуг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отремонтированных жилых помещений муниципального жилищного фонда</w:t>
            </w:r>
            <w:r>
              <w:rPr>
                <w:rFonts w:ascii="Times New Roman" w:hAnsi="Times New Roman" w:cs="Times New Roman" w:eastAsiaTheme="minorEastAsia"/>
                <w:bCs/>
                <w:color w:val="000000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менее 100%) от работ и услуг, предусмотренных договором (управления или содержания)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Исполнение запланированных работ по проведению капитального ремонта в МКД вследствие возникновения неотложной необходимости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Энергосбережение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</w:t>
            </w:r>
            <w:r>
              <w:t xml:space="preserve"> 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85,0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lang w:eastAsia="ko-KR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  <w:r>
              <w:rPr>
                <w:rFonts w:ascii="Times New Roman" w:hAnsi="Times New Roman" w:eastAsia="Batang" w:cs="Times New Roman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95,0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86,0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97,5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кВт*ч/м²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46,0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3.7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lang w:eastAsia="ko-KR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тепловой энергии на </w:t>
            </w:r>
            <w:r>
              <w:rPr>
                <w:rFonts w:ascii="Times New Roman" w:hAnsi="Times New Roman" w:eastAsia="Batang" w:cs="Times New Roman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Batang" w:cs="Times New Roman"/>
                <w:lang w:eastAsia="ko-KR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снабжение органов местного самоуправления </w:t>
            </w:r>
            <w:r>
              <w:rPr>
                <w:rFonts w:ascii="Times New Roman" w:hAnsi="Times New Roman" w:eastAsia="Batang" w:cs="Times New Roman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и муниципальных учреждений (в расчете на 1 кв. метр общей 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площади)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Гкал/м²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0,22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3.8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Batang" w:cs="Times New Roman"/>
                <w:lang w:eastAsia="ko-KR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холодной воды на снабжение органов местного самоуправления</w:t>
            </w:r>
            <w:r>
              <w:rPr>
                <w:rFonts w:ascii="Times New Roman" w:hAnsi="Times New Roman" w:eastAsia="Batang" w:cs="Times New Roman"/>
                <w:lang w:eastAsia="ko-KR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и муниципальных учреждений (в расчете на 1 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человека)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м³/чел.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4,7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3.9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горячей воды на снабжение органов местного самоуправления и муниципальных учрежд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ений (в расчете на 1 человека)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м³/чел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0,66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тепловой энергии в многоквартирных домах (в расчет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е на 1 кв. метр общей площади)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Гкал/м²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0,30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холодной воды в многоквартирных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 домах (в расчете на 1 жителя)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м³/чел.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30,5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горячей воды в многоквартирных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 домах (в расчете на 1 жителя)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м³/чел.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15,10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Удельный расход электрической энергии в многоквартирных домах (в расчете на 1 кв. метр </w:t>
            </w:r>
            <w:r>
              <w:rPr>
                <w:rFonts w:ascii="Times New Roman" w:hAnsi="Times New Roman" w:eastAsia="Batang" w:cs="Times New Roman"/>
                <w:lang w:eastAsia="ko-KR"/>
              </w:rPr>
              <w:t xml:space="preserve">общей площади)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кВт*ч/м²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40,7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Доля потерь тепловой энергии при ее передаче в общем объем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 переданной тепловой энергии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9,30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Доля потерь воды при ее передаче в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общем объеме переданной воды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3.16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 объема транспортируемой воды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кВт*ч/куб.м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0,32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Повышение качества условий проживания населения за счет формирования благоприятной среды проживания граждан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570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Площадь земель общего пользования, подлежащая содержанию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2 275,83753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Площадь земель общего пользования, подлежащая содержанию в зимний период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1 836,83759</w:t>
            </w:r>
            <w:r>
              <w:rPr>
                <w:rFonts w:ascii="Times New Roman" w:hAnsi="Times New Roman" w:cs="Times New Roman" w:eastAsiaTheme="minorEastAsia"/>
                <w:i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1 836,83759</w:t>
            </w:r>
            <w:r>
              <w:rPr>
                <w:rFonts w:ascii="Times New Roman" w:hAnsi="Times New Roman" w:cs="Times New Roman" w:eastAsiaTheme="minorEastAsia"/>
                <w:i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1 836,83759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1 836,83759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1 836,83759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1 836,837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59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отловленных безнадзорных животных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132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Содержание животных, оставленных в приюте на пожизненном содержании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находящихся в муниципальной собственности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269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Cs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Cs/>
                <w:color w:val="000000" w:themeColor="text1"/>
                <w:lang w:eastAsia="ru-RU"/>
              </w:rPr>
              <w:t xml:space="preserve">273</w:t>
            </w:r>
            <w:r>
              <w:rPr>
                <w:rFonts w:ascii="Times New Roman" w:hAnsi="Times New Roman" w:cs="Times New Roman" w:eastAsiaTheme="minorEastAsia"/>
                <w:iCs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277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281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285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289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293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297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301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305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309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313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Ликвидация несанкционированных свалок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тонн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353,554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353,554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353,554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  <w:t xml:space="preserve">353,554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color w:val="000000" w:themeColor="text1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1 414,216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Площадь проведенной дезинфекции, дератизации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тыс. м2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4 815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надлежащего содержания модульных туалетов на территории города Нефтеюганска (не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менее 100% от предусмотренных регламентом работ)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4.7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Санитарная очистка береговой линии от мусора в границах города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км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4.8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Устройство асфальтобетонного покрытия проездов (в т.ч. ремонт)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м2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13 500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4.8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высаженных деревьев и кустарников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10/0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4.9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Процент горения (не менее 95%) от всех объектов уличного, дворового освещения и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иллюминации в городе Нефтеюганске, находящихся на обслуживании получателя субсидии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95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благоустроенных дворовых и общественных территорий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НП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по созданию комфортной городской среды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Устройство ледовых городков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Cs w:val="20"/>
                <w:lang w:eastAsia="ru-RU"/>
              </w:rPr>
              <w:t xml:space="preserve">Количество контейнерных площадок, подлежащих содержанию</w:t>
            </w:r>
            <w:r>
              <w:rPr>
                <w:rFonts w:ascii="Times New Roman" w:hAnsi="Times New Roman" w:cs="Times New Roman" w:eastAsiaTheme="minorEastAsia"/>
                <w:szCs w:val="20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154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4.14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Cs w:val="20"/>
                <w:lang w:eastAsia="ru-RU"/>
              </w:rPr>
              <w:t xml:space="preserve">Количество установленных детских игровых площадок</w:t>
            </w:r>
            <w:r>
              <w:rPr>
                <w:rFonts w:ascii="Times New Roman" w:hAnsi="Times New Roman" w:cs="Times New Roman" w:eastAsiaTheme="minorEastAsia"/>
                <w:szCs w:val="20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шт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5.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реализации муниципальной программы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5.1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ВДЛ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gridSpan w:val="15"/>
            <w:tcW w:w="481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Обеспечение надежности и качества поставки коммунальных ресурсов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.1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6.2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(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100% 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по каждому мероприятию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86"/>
        </w:trPr>
        <w:tc>
          <w:tcPr>
            <w:tcW w:w="181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6.3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222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Доля населения, обеспеченного качественной питьевой водой из систем </w:t>
            </w:r>
            <w:bookmarkStart w:id="3" w:name="_GoBack"/>
            <w:r/>
            <w:bookmarkEnd w:id="3"/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централизованного водоснабжения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398" w:type="pct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44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%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i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i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4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2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79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96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187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  <w:tc>
          <w:tcPr>
            <w:tcW w:w="728" w:type="pct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100</w:t>
            </w:r>
            <w:bookmarkEnd w:id="2"/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/>
          <w:sz w:val="24"/>
          <w:szCs w:val="24"/>
        </w:rPr>
        <w:outlineLvl w:val="0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Структура муниципальной программы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tbl>
      <w:tblPr>
        <w:tblW w:w="14596" w:type="dxa"/>
        <w:tblLook w:val="01E0" w:firstRow="1" w:lastRow="1" w:firstColumn="1" w:lastColumn="1" w:noHBand="0" w:noVBand="0"/>
      </w:tblPr>
      <w:tblGrid>
        <w:gridCol w:w="899"/>
        <w:gridCol w:w="4340"/>
        <w:gridCol w:w="5104"/>
        <w:gridCol w:w="4253"/>
      </w:tblGrid>
      <w:tr>
        <w:tblPrEx/>
        <w:trPr>
          <w:trHeight w:val="4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Связь с показателями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1 «Создание условий для обеспечения качественными коммунальными услугами»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Региональный проект «Создание (реконструкция) коммунальных объектов»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градостро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ительства и земельных отношений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Срок реализации (2024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-2025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эффективности, качества и надежности поставки коммунальных ресурсов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надежности и качества предоставления жилищно-коммунальных услуг и развития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реконструированных объектов коммунального значения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Региональный проект «Чистая вода»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градостроительства и земельных отношений администрации города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Срок реализации (2024)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эффективности, качества и надежности поставки коммунальных ресурсов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надежности и качества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строительства реконструкции (модернизации) систем водоотведения и водоподготовки с использованием перспективных технологий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Доля населения,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Реконструкция, расширение, модернизация, строительство коммунальных объектов, в том числе объектов питьевого водоснабжения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градостроительства и земельных отношений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эффективности, качества и надежности поставки коммунальных ресурсов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надежности и качества предоставления жилищно-коммунальных услуг и развития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1.Обеспечение газоснабжением территории города Нефтеюганска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2. Увеличение протяженности построенных сетей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Предоставление субсидий организациям коммунального комплекса, предоставляющим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коммунальные услуги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населению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эффективности, качества и надежности поставки коммунальных ресурсов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надежности и качества предоставления жилищно-коммунальных услуг и развития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 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не подключенных к сетям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централизованной системы водоотведения на территории города Нефтеюганска (не менее 100% домов от количества домов, предусмотренных графиком откачки и вывоза бытовых сточных вод.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. Обеспечение бесперебойной работы объекта «Фильтровальная станция»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3. Обеспечение отсутствия просроченной (два и более месяцев) задолженности за потребленный топливно-энергический ресурс, да/нет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4. Обеспечение дизельным топливом котельных, при условии перевода котлов на резервный вид топлива, не менее 100% от потребности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Гарантированное предоставление услуг населению в сферах тепло-, водоснабжения и водоотведения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предоставления мер социальной поддержки для отдельных категорий граждан, пользующихся услугами городской бани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Процент обеспечения помывок льготных категорий граждан (не менее 100%) от всех обратившихся за мерами социальной поддержки в виде льготного пользования услугами городской бани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 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«Создание условий для обеспечения доступности и повышения качества жилищных услуг»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Поддержка технического состояния жилищного фонда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, 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муниципального имущества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Обновление жилищного фонда, улучшение технического состояния жилых помещений, снижения количества аварийных и непригодных для проживания многоквартирных жилых домов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доступности и качества жилищных услуг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1.Обеспечение выполнения минимального перечня услуг и работ, необходимых для обеспечения надлежащего содержания общего имущества в многоквартирном доме (не менее 100%) от работ и услуг, предусмотренных договором (управления или содержания).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.Исполнение запланированных работ по проведению капитального ремонта в МКД вследствие возникновения неотложной необходимости.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отремонтированных жилых помещений муниципального жилого фонда.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Взаимодействие с собственниками помещений в многоквартирных домах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, а также Югорским фондом капитального ремонта многоквартирных домов, в целях эффективного проведения капитального ремонта общего имущества многоквартирных домов за счет средств собственников и различных механизмов государственной и муниципальной поддержки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3 «Повышение энергоэффективности в отраслях экономики»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энергосберегающих мероприятий в муниципальном секторе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по делам администрации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образования администрации города, комитет физической культуры и спорта администрации города,</w:t>
            </w:r>
            <w:r>
              <w:t xml:space="preserve">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комитет культуры и туризма администрации города,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градостроительства и земельных отношений администрации города,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муниципального имущества администрации города,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 Снижение потребления энергетических ресурсов и повышение энергоэфф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ективности в муниципальном секторе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энергосберегающих мероприятий муниципальными бюджетными организациями, организациями коммунального комплекса и управляющими организациями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электрической энергии на снабжение органов местного самоуправления и муниципальных учреждений (в расчете на 1 кв. метр общей площади)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тепловой энергии на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снабжение органов местного самоуправления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 муниципальных учреждений (в расчете на 1 кв. метр общей площади)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холодной воды на снабжение органов местного самоуправления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 муниципальных учреждений (в расчете на 1 человека)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горячей воды на снабжение органов местного самоуправления и муниципальных учреждений (в расчете на 1 человека)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«Реализация энергосберегающих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мероприятий в системах наружного освещения и коммунальной инфраструктуры»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рганизации коммунального комплекса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 Снижение потребления энергетических ресурсов и повышение энергоэффективности в коммунальной инфраструктуре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энергосберегающих мероприятий в коммунальной инфраструктуре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потерь тепловой энергии при ее передаче в общем объеме переданной тепловой энергии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потерь воды при ее передаче в общем объеме переданной воды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замены светильников на светодиодные, расположенных на улично-дорожной сети города Нефтеюганска (не менее 75% от общего количества)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«Реализация энергосберегающих мероприятий 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жилищном фонде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рганизации обслуживающие жилой фонд, НО «Югорский фонд капитального ремонта многоквартирных домов»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(УКиТСЖ, РО)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8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 Снижение потребления энергетических ресурсов и повышение энергоэффективности в жилом фонде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энергосберегающих мероприятий в жилищном фонде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тепловой энергии в многоквартирных домах (в расчете на 1 кв. метр общей площади)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холодной воды в многоквартирных домах (в расчете на 1 жителя)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горячей воды в многоквартирных домах (в расчете на 1 жителя)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Удельный расход электрической энергии в многоквартирных домах (в расчете на 1 кв. метр общей площади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холодной воды, расчеты за которую осуществляются с использованием приборов учета, в общем объеме воды,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 4 «Формирование комфортной городской среды»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Региональный проект «Формирование комфортной городской среды»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города;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Срок реализации (2024-2030)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формирования единых подходов создания комфортной городской среды, разработка и вн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в соответствии с едиными требованиями.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качества условий проживания населения за счет формирования благоприятной среды проживания граждан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благоустроенных дворовых и общественных территорий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рии которых реализуются проекты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 созданию комфортной городской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среды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Улучшение эстетического облика города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Улучшение санитарного состояния городских территорий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Создание условий для улучшения санитарного состояния городских территорий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качества условий проживания населения за счет формирования благоприятной среды проживания граждан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1.Количество о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тлов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ленных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безнадзорных животных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Ликвидация несанкционированных свалок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3.Площадь проведенной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дезинфекции, дератизации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 Площадь земель общего пользования, подлежащая содержанию 5.Площадь земель общего пользования, подлежащая содержанию в зимний период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Санитарная очистка береговой линии от мусора в границах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  <w:t xml:space="preserve">Обеспечение надлежащего содержания модульных туалетов на территории города Нефтеюганска (не менее 100% от предусмотренных регламентом работ)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8.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Содержание животных, оставленных в приюте на пожизненном содержании, находящихся в муниципальной собственности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  <w:t xml:space="preserve">Количество установленных контейнерных площадок на территории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Наличие у получателя субсидии проектно-изыск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ательской работы по рекультивации объекта «Полигон по обезвреживанию твердых бытовых отходов, расположенного по адресу: ХМАО – Югра, Нефтеюганский район, правая сторона 24 км автодороги государственной экологической экспертизы и сметно-ценовой документации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11.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Дезинсекция и дератизация контейнерных площадок для накопления ТКО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12. Приобретение контейнеров для накопления ТКО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13.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контейнеров/бункеров для накопления ТКО подлежащих промывке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14.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Количество контейнерных площадок, подлежащих содержанию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Улучшение эстетического облика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Благоустройство и озеленение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Улучшение эстетического облика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Повышение качества условий проживания населения за счет формирования благоприятной среды проживания граждан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высаженных деревьев и кустарников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Устройство покрытия пешеходных дорожек, тротуаров (в т.ч., ремонт)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3.</w:t>
            </w:r>
            <w: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Устройство асфальтобетонного покрытия проездов (в т.ч. ремонт)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4.Количество отр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емонт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ированных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детских игровых площадок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5.Количество отр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емонт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ированных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спортивных площадок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6.Количество установленных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детск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их игровых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площадок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7. Количество установленных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спортивных площадок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8.Процент горения (не менее 95%) от всех объектов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уличного, дворового освещения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 иллюминации в г. Нефтеюганске, находящихся на обслуживании получателя субсидии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9.</w:t>
            </w:r>
            <w:r>
              <w:rPr>
                <w:rFonts w:ascii="Times New Roman" w:hAnsi="Times New Roman" w:cs="Times New Roman" w:eastAsiaTheme="minorEastAsia"/>
                <w:sz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  <w:t xml:space="preserve">Количество приобретенных и установленных бетонных ограждений (полусфер)</w:t>
            </w: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lang w:eastAsia="ru-RU"/>
              </w:rPr>
              <w:t xml:space="preserve">10.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 Приобретение и установка урн для мусора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11.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Количество благоустроенных дворовых и общественных территорий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12. Устройство ледовых городков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формирования единых подходов создания комфортной городской среды, разработка и 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в соответствии с едиными требованиями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 5.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5 «Обеспечение реализации муниципальной программы»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«Обеспечение деятельности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органов местного самоуправления города Нефтеюганска»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достижения показателей муниципальной программы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Осуществление функ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ций по реализации единой государственной политики и нормативному правовому регулированию, оказанию муниципальных услуг в сфере жилищно-коммунального хозяйства, координация деятельности организаций жилищно-коммунального комплекса на территории муниципальног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 образования город Нефтеюганск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Организационное обеспечение функционирования отрасли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достижения показателей муниципальной программы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реализации МКУ КХ «Служба единого заказчика»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реализации МКУ «Реквием»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5.3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«Выполнение других обязательств муниципального образования»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Обеспечение достижения показателей муниципальной программы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Осуществление функ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ций по реализации единой государственной политики и нормативному правовому регулированию, оказанию муниципальных услуг в сфере жилищно-коммунального хозяйства, координация деятельности организаций жилищно-коммунального комплекса на территории муниципальног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 образования город Нефтеюганск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Batang" w:cs="Times New Roman"/>
                <w:lang w:eastAsia="ko-KR"/>
              </w:rPr>
              <w:t xml:space="preserve">Удовлетворенность населения деятельностью органов местного самоуправления (процентов от числа опрошенных) (по сферам деятельности)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6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«Модернизация коммунальной инфраструктуры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жилищно-коммунального хозяйства администрации города;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Срок реализ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ации (2025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-20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Задача № 1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удовлетворение потребности населения в качественных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коммунальных услугах;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Задача № 2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обеспечение качестве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нной и надежной работы объектов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коммунальной инфраструктуры;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Задача № 3 снижение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технологических потерь в инженерных сетях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овышение качества и надежности предоставления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коммунальных услуг населе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нию,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повышение надежности и эффективности эксплуатации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  <w:t xml:space="preserve">систем коммунальной инфраструктуры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  <w:t xml:space="preserve">.Доля замены ветхих инженерных сетей теплоснабжения, водоснабжения, водоотведения от общей протяженности ветхих инженерных сетей теплоснабжения</w:t>
            </w: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  <w:t xml:space="preserve">, водоснабжения, водоотведения.</w:t>
            </w: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6.2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полномочий в сфере жилищно- коммунального комплекса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 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 градостроительства и земельных отношений администрации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Привлечение долгосрочных частных инвестиций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Выполнение капитального ремонта объектов централизованных систем водоснабжения и водоотведения, предусмотренных к реализации планом мероприятий по капитальному ремонту (100% по каждому мероприятию)</w:t>
            </w:r>
            <w:r>
              <w:rPr>
                <w:rFonts w:ascii="Times New Roman" w:hAnsi="Times New Roman" w:cs="Times New Roman" w:eastAsiaTheme="minorEastAsia"/>
                <w:sz w:val="28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  <w:t xml:space="preserve">2.Доля замены ветхих инженерных сетей теплоснабжения, водоснабжения, водоотведения от общей протяженности ветхих инженерных сетей теплоснабжения, водоснабжения, водоотведения.</w:t>
            </w: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cs="Times New Roman" w:eastAsiaTheme="minorEastAsia"/>
                <w:lang w:eastAsia="ru-RU"/>
              </w:rPr>
              <w:t xml:space="preserve">Доля населения, обеспеченного качественной питьевой водой из систем централизованного водоснабжения</w:t>
            </w:r>
            <w:r>
              <w:rPr>
                <w:rFonts w:ascii="Times New Roman" w:hAnsi="Times New Roman" w:cs="Times New Roman" w:eastAsiaTheme="minorEastAsia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№2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Увеличение сроков безремонтной эксплуатации инженерных сетей жилищно-коммунального комплекса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Реализация полномочий в сфере жилищно- коммунального комплекса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Направление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7 «Обустройство, использование, защита и охрана городских лесов»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7.1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 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№1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Выполнение работ по обустройству, использованию, защите и охране городских лесов в соответствии с лесохозяйственным регламентом городских лесов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Направлено на 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7.2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Предупреждение возникновения и распространения лесных пожаров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Куратор: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Иван Сергеевич Старожук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Департамент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жилищно- коммунального хозяйства администрации города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Выполнение работ по обустройству, использованию, защите и охране городских лесов в соответствии с лесохозяйственным регламентом городских лесов города Нефтеюганска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Направлено на 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Устройство минерализованной полосы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 w:eastAsiaTheme="minorEastAsia"/>
          <w:sz w:val="28"/>
          <w:szCs w:val="28"/>
          <w:lang w:eastAsia="ru-RU"/>
        </w:rPr>
        <w:outlineLvl w:val="0"/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4"/>
          <w:szCs w:val="24"/>
          <w:lang w:eastAsia="ru-RU"/>
        </w:rPr>
      </w:pP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Финансовое обеспечение 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муниципальной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программы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</w:r>
    </w:p>
    <w:tbl>
      <w:tblPr>
        <w:tblpPr w:horzAnchor="margin" w:tblpXSpec="center" w:vertAnchor="text" w:tblpY="241" w:leftFromText="180" w:topFromText="0" w:rightFromText="180" w:bottomFromText="0"/>
        <w:tblW w:w="1586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1134"/>
        <w:gridCol w:w="1276"/>
        <w:gridCol w:w="1701"/>
        <w:gridCol w:w="1701"/>
        <w:gridCol w:w="1843"/>
        <w:gridCol w:w="1843"/>
        <w:gridCol w:w="1843"/>
        <w:gridCol w:w="1983"/>
      </w:tblGrid>
      <w:tr>
        <w:tblPrEx/>
        <w:trPr>
          <w:jc w:val="center"/>
          <w:trHeight w:val="537"/>
        </w:trPr>
        <w:tc>
          <w:tcPr>
            <w:tcW w:w="25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Ответственный исполнитель/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соисполнитель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gridSpan w:val="7"/>
            <w:tcW w:w="121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28"/>
        </w:trPr>
        <w:tc>
          <w:tcPr>
            <w:tcW w:w="2537" w:type="dxa"/>
            <w:vAlign w:val="center"/>
            <w:vMerge w:val="continue"/>
            <w:textDirection w:val="lrTb"/>
            <w:noWrap w:val="false"/>
          </w:tcPr>
          <w:p>
            <w:pPr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2029-2030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before="24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226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51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/>
            <w:bookmarkStart w:id="4" w:name="_Hlk212816919"/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Муниципальная программа «Развитие жилищно-коммунального комплекса и повышение энергетической эффективности в городе Нефтеюганске»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УКиТСЖ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2 388 674,39075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2 122 630,08161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1 990 720,12500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1 850 389,39400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1 659 987,29400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2 130 481,38800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12 142 882,67336</w:t>
            </w:r>
            <w:bookmarkEnd w:id="4"/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35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1 302 445,42500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1 528 037,96100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1 482 049,52500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1 176 850,59400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1 147 013,59400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2 130 481,38800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8 766 878,48700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0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710 395,23039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455 536,60692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390 691,20000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532 585,30000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419 891,10000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2 509 099,43731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5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117 979,40000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140 953,50000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93 082,60000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371 671,97419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90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1 196 461,12939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1 487 139,37200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1 504 596,27100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1 301 102,69400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1 322 931,19400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2 065 780,98800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8 878 011,64839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1 061 008,09900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1 312 893,97200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1 270 685,97100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1 067 278,59400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1 069 145,19400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2 065 780,98800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7 846 792,81800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125 641,13039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164 400,82581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223 087,40000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223 698,70000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237 818,30000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974 646,35620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10 822,90000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15 967,70000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56 572,47419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746 157,39400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459 729,87711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454 815,85400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516 936,50000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304 705,90000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2 482 345,52511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161 403,29400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168 594,09600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180 055,55400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77 221,80000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45 518,20000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632 792,94400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584 754,10000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291 135,78111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167 603,80000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308 886,60000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182 072,80000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1 534 453,08111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107 156,50000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130 828,10000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77 114,90000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315 099,50000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71 634,85900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240 631,75200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71 634,85900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240 631,75200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2 711,88900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1 590,00000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7 481,88900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2 711,88900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1 590,00000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7 481,88900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586,07500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1 786,07500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586,07500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1 786,07500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515,27000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481,64200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2 421,91200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515,27000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481,64200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2 421,91200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6 502,82800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14 693,26900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5 510,00000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34 971,09700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6 502,82800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14 693,26900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5 510,00000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34 971,09700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УКиТСЖ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31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64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Объем налоговых расходов муниципального образования (справочно)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0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1 «Создание условий для обеспечения качественными коммунальными услугами» (всего), в том числе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735 566,23700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653 159,18711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336 574,31600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147 273,10000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152 581,80000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2 133 413,84011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150 812,13700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362 023,40600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250 089,41600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979 443,35900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584 754,10000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291 135,78111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86 484,90000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93 143,50000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98 452,20000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1 153 970,48111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678 969,16300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421 638,00011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1 111 925,25911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94 215,06300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130 502,21900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236 035,37800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584 754,10000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291 135,78111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875 889,88111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35 563,24000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231 521,18700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325 256,22000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147 273,10000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152 581,80000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1 000 454,74700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35 563,24000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231 521,18700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238 771,32000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722 374,14700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86 484,90000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93 143,50000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98 452,20000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278 080,60000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1.1.Региональный проект «Создание (реконструкция) коммунальных объектов»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617 657,36200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291 190,25411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908 847,61611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32 903,26200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54,47300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32 957,73500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584 754,10000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291 135,78111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875 889,88111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1.2.Региональный проект «Чистая вода»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161,15200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161,15200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161,15200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161,15200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1.3. «Реконструкция, расширение, модернизация, строительство коммунальных объектов, в том числе объектов питьевого водоснабжения»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82 184,48300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130 447,74600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223 950,32500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82 184,48300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130 447,74600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223 950,32500</w:t>
            </w:r>
            <w: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61 150,64900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130 447,74600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202 916,49100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61 150,64900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130 447,74600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11 318,09600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202 916,49100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21 033,83400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8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1.4.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Предоставление субсидий организациям коммунального комплекса, предоставляющим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коммунальные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населению»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35 563,24000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231 521,18700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325 256,22000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147 273,10000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152 581,80000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1 000 454,74700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35 563,24000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231 521,18700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238 771,32000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54 129,60000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108 259,20000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722 374,14700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86 484,90000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93 143,50000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98 452,20000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278 080,60000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34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2 «Создание условий для обеспечения доступности и повышения качества жилищных услуг»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71 431,65900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43 418,92300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34 138,90000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70 362,20000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289 713,88200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71 431,65900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43 418,92300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34 138,90000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70 362,20000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289 713,88200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20 882,43400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14 955,83000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13 731,80000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70 167,76400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20 882,43400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14 955,83000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13 731,80000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70 167,76400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50 549,22500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219 546,11800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50 549,22500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219 546,11800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2.1 «Поддержка технического состояния жилищного фонда»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71 431,65900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43 418,92300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34 138,90000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70 362,20000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289 713,88200</w:t>
            </w:r>
            <w:r>
              <w:rPr>
                <w:rFonts w:ascii="Times New Roman" w:hAnsi="Times New Roman" w:cs="Times New Roman" w:eastAsiaTheme="minorEastAsia"/>
                <w:color w:val="ff0000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71 431,65900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43 418,92300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34 138,90000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35 181,10000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70 362,20000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289 713,88200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425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ВСЕГО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20 882,43400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14 955,83000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13 731,80000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70 167,76400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20 882,43400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14 955,83000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6 865,90000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13 731,80000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70 167,76400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50 549,22500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219 546,11800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50 549,22500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28 463,09300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27 273,00000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28 315,20000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56 630,40000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219 546,11800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2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3 «Повышение энергоэффективности в отраслях экономики»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УКиТСЖ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374 584,80836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187 020,98950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581 780,79786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8 562,97300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57 810,05000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86 548,02300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785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2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3.1 «Реализация энергосберегающих мероприятий в муниципальном секторе»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8 562,97300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18 086,80000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46 824,77300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8 562,97300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18 086,80000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4 035,00000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8 070,00000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46 824,77300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ДДА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515,27000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481,64200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2 421,91200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515,27000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481,64200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2 421,91200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6 502,82800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14 693,26900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5 510,00000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34 971,09700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6 502,82800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14 693,26900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2 755,00000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5 510,00000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34 971,09700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        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КФКиС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2 711,88900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1 590,00000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7 481,88900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2 711,88900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795,00000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1 590,00000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7 481,88900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ККиТ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586,07500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1 786,07500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586,07500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1 786,07500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ДМИ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1322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1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3.2 «Реализация энергосберегающих мероприятий в системах наружного освещения и коммунальной инфраструктуры»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ОКК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39 723,25000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39 723,25000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39 723,25000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39 723,25000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19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3.3 «Реализация энергосберегающих мероприятий в жилищном фонде»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УКиТСЖ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РО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366 021,83536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129 210,93950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495 232,77486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4 «Формирование комфортной городской среды»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662 963,88039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646 422,72800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1 019 361,69400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566 762,66000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567 136,16000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1 046 279,72000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4 508 926,84239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635 113,25000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614 980,52800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706 534,79400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529 801,36000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529 876,06000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1 046 279,72000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4 062 585,71200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18 038,73039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21 597,62581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194 847,50000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26 835,90000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27 021,20000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288 340,95620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117 979,40000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158 000,17419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595 775,64939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608 330,85100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584 897,18300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566 762,66000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567 136,16000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1 046 279,72000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3 969 182,22339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567 925,01900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576 888,65100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546 830,58300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529 801,36000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529 876,06000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1 046 279,72000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3 797 601,39300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18 038,73039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21 597,62581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27 243,70000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26 835,90000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27 021,20000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120 737,15620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10 822,90000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50 843,67419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67 188,23100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38 091,87700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434 464,51100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539 744,61900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67 188,23100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38 091,87700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159 704,21100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264 984,31900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167 603,80000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167 603,80000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107 156,50000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107 156,50000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4.1 «Региональный проект «Формирование комфортной городской среды»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31 507,33039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61 767,12800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431 139,20000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33 307,20000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33 680,70000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591 401,55839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6 301,50000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36 524,62800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128 627,90000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6 661,50000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6 736,20000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184 851,72800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15 393,93039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15 397,92581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184 531,90000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16 520,30000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16 705,60000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248 549,65620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117 979,40000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158 000,17419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31 507,33039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61 767,12800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34 688,80000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33 307,20000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33 680,70000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194 951,15839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6 301,50000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36 524,62800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6 937,80000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6 661,50000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6 736,20000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63 161,62800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15 393,93039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15 397,92581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16 928,10000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16 520,30000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16 705,60000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80 945,85620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9 811,90000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9 844,57419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10 822,90000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10 125,40000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10 238,90000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50 843,67419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396 450,40000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396 450,40000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121 690,10000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121 690,10000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167 603,80000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167 603,80000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107 156,50000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107 156,50000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4.2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Улучшение санитарного состояния городских территорий» (всего), 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390 869,22400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365 495,93000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386 699,92000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377 997,30000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377 997,30000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735 363,40000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2 634 423,07400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388 224,42400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359 296,23000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376 384,32000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367 681,70000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367 681,70000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735 363,40000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2 594 631,77400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2 644,80000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6 199,70000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10 315,60000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39 791,30000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4.3 «Благоустройство и озеленение города»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240 587,32600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219 159,67000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201 522,57400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310 916,32000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1 283 102,21000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240 587,32600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219 159,67000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201 522,57400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310 916,32000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1 283 102,21000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173 399,09500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181 067,79300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163 508,46300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310 916,32000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1 139 807,99100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173 399,09500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181 067,79300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163 508,46300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155 458,16000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310 916,32000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1 139 807,99100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67 188,23100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38 091,87700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38 014,11100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143 294,21900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67 188,23100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38 091,87700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38 014,11100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143 294,21900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015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5 «Обеспечение реализации муниципальной программы»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397 881,91400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402 158,93100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427 305,13400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426 978,50000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425 181,80000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850 363,60000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2 929 869,87900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397 426,21400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402 158,93100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427 305,13400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426 978,50000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425 181,80000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850 363,60000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2 929 414,17900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534"/>
        </w:trPr>
        <w:tc>
          <w:tcPr>
            <w:shd w:val="clear" w:color="auto" w:fill="ffffff" w:themeFill="background1"/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 Комплекс процессных мероприятий 5.1 «Обеспечение деятельности органов местного самоуправления города Нефтеюганска»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67 724,37500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67 531,04200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69 995,30000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70 349,20000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69 995,30000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139 990,60000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485 585,81700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67 268,67500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67 531,04200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69 995,30000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70 349,20000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69 995,30000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139 990,60000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485 130,11700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455,70000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1479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5.2 «Организационное обеспечение функционирования отрасли»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  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313 322,00500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314 565,88100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353 886,23400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353 205,70000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351 762,90000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703 525,80000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2 390 268,52000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313 322,00500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314 565,88100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353 886,23400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353 205,70000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351 762,90000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703 525,80000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2 390 268,52000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1156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5.3 «Выполнение других обязательств муниципального образования»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       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16 835,53400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20 062,00800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6 847,20000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54 015,54200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16 835,53400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20 062,00800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3 423,60000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6 847,20000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54 015,54200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728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6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144 852,29200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190 449,32300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169 305,08100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670 159,03400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475 871,43400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1 697 783,83200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37 705,59200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47 646,12300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59 946,28100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126 725,03400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98 610,03400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417 779,73200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107 146,70000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142 803,20000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109 358,80000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412 605,90000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294 417,70000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1 066 332,30000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130 828,10000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82 843,70000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213 671,80000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144 852,29200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190 449,32300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160 271,83400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153 222,53400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171 165,53400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867 108,18500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37 705,59200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47 646,12300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50 913,03400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49 503,23400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53 091,83400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286 006,48500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107 146,70000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142 803,20000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109 358,80000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103 719,30000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112 344,90000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575 372,90000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5 728,80000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5 728,80000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516 936,50000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304 705,90000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830 675,64700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77 221,80000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45 518,20000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131 773,24700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308 886,60000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182 072,80000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490 959,40000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130 828,10000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77 114,90000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207 943,00000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948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6.1 Региональный проект «Модернизация коммунальной инфраструктуры» (всего), в том числе: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516 936,50000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333 995,60000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850 932,10000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77 221,80000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51 376,20000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128 598,00000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308 886,60000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199 775,70000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508 662,30000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130 828,10000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82 843,70000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213 671,80000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29 289,70000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29 289,70000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5 858,00000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5 858,00000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17 702,90000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17 702,90000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5 728,80000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5 728,80000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516 936,50000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304 705,90000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821 642,40000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77 221,80000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45 518,20000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122 740,00000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308 886,60000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182 072,80000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490 959,40000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130 828,10000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77 114,90000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207 943,00000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1166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«Комплекс процессных мероприятий 6.2 «Реализация полномочий в сфере жилищно- коммунального комплекса»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144 852,29200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190 449,32300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169 305,08100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153 222,53400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141 875,83400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846 851,73200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37 705,59200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47 646,12300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59 946,28100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49 503,23400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47 233,83400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289 181,73200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107 146,70000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142 803,20000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109 358,80000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103 719,30000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94 642,00000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557 670,00000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144 852,29200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190 449,32300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160 271,83400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153 222,53400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141 875,83400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837 818,48500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37 705,59200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47 646,12300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50 913,03400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49 503,23400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47 233,83400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47 146,66800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280 148,48500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107 146,70000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142 803,20000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109 358,80000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103 719,30000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94 642,00000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557 670,00000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ВСЕГО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ДГиЗО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9 033,24700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Направление 7 «Обустройство, использование, защита и охрана городских лесов»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4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7.1 «Обустройство территории городских лесов, локализация и ликвидация очагов вредных организмов городских лесов муниципального образования город Нефтеюганск»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i/>
                <w:sz w:val="20"/>
                <w:szCs w:val="20"/>
                <w:lang w:eastAsia="ru-RU"/>
              </w:rPr>
              <w:t xml:space="preserve">Комплекс процессных мероприятий 7.2 «Предупреждение возникновения и распространения лесных пожаров» (всего), в том числе: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ДЖКХ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1 393,60000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Окружной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Федеральный бюджет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  <w:tr>
        <w:tblPrEx/>
        <w:trPr>
          <w:jc w:val="center"/>
          <w:trHeight w:val="391"/>
        </w:trPr>
        <w:tc>
          <w:tcPr>
            <w:tcW w:w="2537" w:type="dxa"/>
            <w:vAlign w:val="center"/>
            <w:textDirection w:val="lrTb"/>
            <w:noWrap w:val="false"/>
          </w:tcPr>
          <w:p>
            <w:pPr>
              <w:ind w:firstLine="454"/>
              <w:jc w:val="right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  <w:tc>
          <w:tcPr>
            <w:tcW w:w="19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0,00000</w:t>
            </w:r>
            <w:r>
              <w:rPr>
                <w:rFonts w:ascii="Times New Roman" w:hAnsi="Times New Roman" w:cs="Times New Roman" w:eastAsiaTheme="minorEastAsia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</w:r>
    </w:p>
    <w:sectPr>
      <w:footnotePr/>
      <w:endnotePr/>
      <w:type w:val="nextPage"/>
      <w:pgSz w:w="16838" w:h="11906" w:orient="landscape"/>
      <w:pgMar w:top="851" w:right="1134" w:bottom="127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ET">
    <w:panose1 w:val="05050102010205020202"/>
  </w:font>
  <w:font w:name="Symbol">
    <w:panose1 w:val="05050102010706020507"/>
  </w:font>
  <w:font w:name="NTTimes/Cyrillic">
    <w:panose1 w:val="05050102010205020202"/>
  </w:font>
  <w:font w:name="Century Schoolbook">
    <w:panose1 w:val="02040604050505020304"/>
  </w:font>
  <w:font w:name="Wingdings">
    <w:panose1 w:val="05000000000000000000"/>
  </w:font>
  <w:font w:name="Verdana">
    <w:panose1 w:val="020B0604030504040204"/>
  </w:font>
  <w:font w:name="Consolas">
    <w:panose1 w:val="020B0609020204030204"/>
  </w:font>
  <w:font w:name="Cambria">
    <w:panose1 w:val="02040503050406030204"/>
  </w:font>
  <w:font w:name="Tahoma">
    <w:panose1 w:val="020B0604030504040204"/>
  </w:font>
  <w:font w:name="Courier New">
    <w:panose1 w:val="02070309020205020404"/>
  </w:font>
  <w:font w:name="Times New Roman CYR">
    <w:panose1 w:val="02020603050405020304"/>
  </w:font>
  <w:font w:name="Batang">
    <w:panose1 w:val="02010600030101010101"/>
  </w:font>
  <w:font w:name="Calibri">
    <w:panose1 w:val="020F0502020204030204"/>
  </w:font>
  <w:font w:name="Pragmatica">
    <w:panose1 w:val="05050102010205020202"/>
  </w:font>
  <w:font w:name="Times New Roman">
    <w:panose1 w:val="02020603050405020304"/>
  </w:font>
  <w:font w:name="Arial Narrow">
    <w:panose1 w:val="020B0606020202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775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791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styleLink w:val="940"/>
    <w:lvl w:ilvl="0">
      <w:start w:val="1"/>
      <w:numFmt w:val="decimal"/>
      <w:pStyle w:val="94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  <w:sz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3">
    <w:multiLevelType w:val="hybridMultilevel"/>
    <w:lvl w:ilvl="0">
      <w:start w:val="1"/>
      <w:numFmt w:val="decimal"/>
      <w:pStyle w:val="666"/>
      <w:isLgl w:val="false"/>
      <w:suff w:val="tab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3"/>
      <w:numFmt w:val="bullet"/>
      <w:pStyle w:val="797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Times New Roman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Times New Roman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pStyle w:val="829"/>
      <w:isLgl w:val="false"/>
      <w:suff w:val="tab"/>
      <w:lvlText w:val="­"/>
      <w:lvlJc w:val="left"/>
      <w:pPr>
        <w:ind w:left="1791" w:hanging="323"/>
        <w:tabs>
          <w:tab w:val="num" w:pos="1791" w:leader="none"/>
        </w:tabs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340" w:hanging="360"/>
        <w:tabs>
          <w:tab w:val="num" w:pos="23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60" w:hanging="360"/>
        <w:tabs>
          <w:tab w:val="num" w:pos="30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80" w:hanging="360"/>
        <w:tabs>
          <w:tab w:val="num" w:pos="37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00" w:hanging="360"/>
        <w:tabs>
          <w:tab w:val="num" w:pos="45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20" w:hanging="360"/>
        <w:tabs>
          <w:tab w:val="num" w:pos="52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40" w:hanging="360"/>
        <w:tabs>
          <w:tab w:val="num" w:pos="59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60" w:hanging="360"/>
        <w:tabs>
          <w:tab w:val="num" w:pos="66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80" w:hanging="360"/>
        <w:tabs>
          <w:tab w:val="num" w:pos="7380" w:leader="none"/>
        </w:tabs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2"/>
    <w:link w:val="66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2"/>
    <w:link w:val="66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2"/>
    <w:link w:val="66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2"/>
    <w:link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2"/>
    <w:link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2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2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2"/>
    <w:link w:val="720"/>
    <w:uiPriority w:val="10"/>
    <w:rPr>
      <w:sz w:val="48"/>
      <w:szCs w:val="48"/>
    </w:rPr>
  </w:style>
  <w:style w:type="character" w:styleId="37">
    <w:name w:val="Subtitle Char"/>
    <w:basedOn w:val="672"/>
    <w:link w:val="927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2"/>
    <w:link w:val="691"/>
    <w:uiPriority w:val="99"/>
  </w:style>
  <w:style w:type="character" w:styleId="45">
    <w:name w:val="Footer Char"/>
    <w:basedOn w:val="672"/>
    <w:link w:val="693"/>
    <w:uiPriority w:val="99"/>
  </w:style>
  <w:style w:type="paragraph" w:styleId="46">
    <w:name w:val="Caption"/>
    <w:basedOn w:val="665"/>
    <w:next w:val="66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2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16"/>
    <w:uiPriority w:val="99"/>
    <w:rPr>
      <w:sz w:val="18"/>
    </w:rPr>
  </w:style>
  <w:style w:type="character" w:styleId="179">
    <w:name w:val="Endnote Text Char"/>
    <w:link w:val="929"/>
    <w:uiPriority w:val="99"/>
    <w:rPr>
      <w:sz w:val="20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paragraph" w:styleId="665" w:default="1">
    <w:name w:val="Normal"/>
    <w:qFormat/>
  </w:style>
  <w:style w:type="paragraph" w:styleId="666">
    <w:name w:val="Heading 1"/>
    <w:basedOn w:val="665"/>
    <w:link w:val="677"/>
    <w:qFormat/>
    <w:pPr>
      <w:numPr>
        <w:ilvl w:val="0"/>
        <w:numId w:val="6"/>
      </w:numPr>
      <w:ind w:left="0" w:firstLine="0"/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67">
    <w:name w:val="Heading 2"/>
    <w:basedOn w:val="665"/>
    <w:next w:val="665"/>
    <w:link w:val="678"/>
    <w:unhideWhenUsed/>
    <w:qFormat/>
    <w:pPr>
      <w:keepNext/>
      <w:spacing w:after="0" w:line="240" w:lineRule="auto"/>
      <w:outlineLvl w:val="1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668">
    <w:name w:val="Heading 3"/>
    <w:basedOn w:val="665"/>
    <w:next w:val="665"/>
    <w:link w:val="679"/>
    <w:uiPriority w:val="99"/>
    <w:semiHidden/>
    <w:unhideWhenUsed/>
    <w:qFormat/>
    <w:pPr>
      <w:ind w:firstLine="851"/>
      <w:jc w:val="both"/>
      <w:keepNext/>
      <w:spacing w:after="0" w:line="240" w:lineRule="auto"/>
      <w:outlineLvl w:val="2"/>
    </w:pPr>
    <w:rPr>
      <w:rFonts w:ascii="Times New Roman" w:hAnsi="Times New Roman" w:eastAsia="Times New Roman" w:cs="Times New Roman"/>
      <w:sz w:val="28"/>
      <w:szCs w:val="24"/>
    </w:rPr>
  </w:style>
  <w:style w:type="paragraph" w:styleId="669">
    <w:name w:val="Heading 4"/>
    <w:basedOn w:val="665"/>
    <w:next w:val="665"/>
    <w:link w:val="680"/>
    <w:uiPriority w:val="99"/>
    <w:semiHidden/>
    <w:unhideWhenUsed/>
    <w:qFormat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670">
    <w:name w:val="Heading 5"/>
    <w:basedOn w:val="665"/>
    <w:next w:val="665"/>
    <w:link w:val="681"/>
    <w:semiHidden/>
    <w:unhideWhenUsed/>
    <w:qFormat/>
    <w:pPr>
      <w:spacing w:before="240" w:after="60" w:line="240" w:lineRule="auto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paragraph" w:styleId="671">
    <w:name w:val="Heading 6"/>
    <w:basedOn w:val="665"/>
    <w:next w:val="665"/>
    <w:link w:val="682"/>
    <w:semiHidden/>
    <w:unhideWhenUsed/>
    <w:qFormat/>
    <w:pPr>
      <w:spacing w:before="240" w:after="60" w:line="240" w:lineRule="auto"/>
      <w:outlineLvl w:val="5"/>
    </w:pPr>
    <w:rPr>
      <w:rFonts w:ascii="Times New Roman" w:hAnsi="Times New Roman" w:eastAsia="Times New Roman" w:cs="Times New Roman"/>
      <w:b/>
      <w:bCs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paragraph" w:styleId="675">
    <w:name w:val="List Paragraph"/>
    <w:basedOn w:val="665"/>
    <w:link w:val="735"/>
    <w:uiPriority w:val="1"/>
    <w:qFormat/>
    <w:pPr>
      <w:contextualSpacing/>
      <w:ind w:left="720"/>
    </w:pPr>
  </w:style>
  <w:style w:type="table" w:styleId="676">
    <w:name w:val="Table Grid"/>
    <w:basedOn w:val="67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77" w:customStyle="1">
    <w:name w:val="Заголовок 1 Знак"/>
    <w:basedOn w:val="672"/>
    <w:link w:val="666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78" w:customStyle="1">
    <w:name w:val="Заголовок 2 Знак"/>
    <w:basedOn w:val="672"/>
    <w:link w:val="667"/>
    <w:rPr>
      <w:rFonts w:ascii="Times New Roman" w:hAnsi="Times New Roman" w:eastAsia="Times New Roman" w:cs="Times New Roman"/>
      <w:b/>
      <w:sz w:val="28"/>
      <w:szCs w:val="20"/>
    </w:rPr>
  </w:style>
  <w:style w:type="character" w:styleId="679" w:customStyle="1">
    <w:name w:val="Заголовок 3 Знак"/>
    <w:basedOn w:val="672"/>
    <w:link w:val="668"/>
    <w:uiPriority w:val="99"/>
    <w:semiHidden/>
    <w:rPr>
      <w:rFonts w:ascii="Times New Roman" w:hAnsi="Times New Roman" w:eastAsia="Times New Roman" w:cs="Times New Roman"/>
      <w:sz w:val="28"/>
      <w:szCs w:val="24"/>
    </w:rPr>
  </w:style>
  <w:style w:type="character" w:styleId="680" w:customStyle="1">
    <w:name w:val="Заголовок 4 Знак"/>
    <w:basedOn w:val="672"/>
    <w:link w:val="669"/>
    <w:uiPriority w:val="99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681" w:customStyle="1">
    <w:name w:val="Заголовок 5 Знак"/>
    <w:basedOn w:val="672"/>
    <w:link w:val="670"/>
    <w:semiHidden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682" w:customStyle="1">
    <w:name w:val="Заголовок 6 Знак"/>
    <w:basedOn w:val="672"/>
    <w:link w:val="671"/>
    <w:semiHidden/>
    <w:rPr>
      <w:rFonts w:ascii="Times New Roman" w:hAnsi="Times New Roman" w:eastAsia="Times New Roman" w:cs="Times New Roman"/>
      <w:b/>
      <w:bCs/>
    </w:rPr>
  </w:style>
  <w:style w:type="numbering" w:styleId="683" w:customStyle="1">
    <w:name w:val="Нет списка1"/>
    <w:next w:val="674"/>
    <w:uiPriority w:val="99"/>
    <w:semiHidden/>
    <w:unhideWhenUsed/>
  </w:style>
  <w:style w:type="paragraph" w:styleId="684" w:customStyle="1">
    <w:name w:val="Основной текст 21"/>
    <w:basedOn w:val="665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85">
    <w:name w:val="Body Text 2"/>
    <w:basedOn w:val="665"/>
    <w:link w:val="686"/>
    <w:pPr>
      <w:jc w:val="both"/>
      <w:spacing w:after="0" w:line="240" w:lineRule="auto"/>
    </w:pPr>
    <w:rPr>
      <w:rFonts w:ascii="Times New Roman CYR" w:hAnsi="Times New Roman CYR" w:eastAsia="Times New Roman" w:cs="Times New Roman"/>
      <w:sz w:val="28"/>
      <w:szCs w:val="20"/>
    </w:rPr>
  </w:style>
  <w:style w:type="character" w:styleId="686" w:customStyle="1">
    <w:name w:val="Основной текст 2 Знак"/>
    <w:basedOn w:val="672"/>
    <w:link w:val="685"/>
    <w:rPr>
      <w:rFonts w:ascii="Times New Roman CYR" w:hAnsi="Times New Roman CYR" w:eastAsia="Times New Roman" w:cs="Times New Roman"/>
      <w:sz w:val="28"/>
      <w:szCs w:val="20"/>
    </w:rPr>
  </w:style>
  <w:style w:type="paragraph" w:styleId="687" w:customStyle="1">
    <w:name w:val="ConsPlusTitle"/>
    <w:qFormat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688" w:customStyle="1">
    <w:name w:val="ConsPlusNormal"/>
    <w:link w:val="740"/>
    <w:qFormat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689">
    <w:name w:val="Body Text"/>
    <w:basedOn w:val="665"/>
    <w:link w:val="925"/>
    <w:uiPriority w:val="1"/>
    <w:qFormat/>
    <w:pPr>
      <w:spacing w:after="120" w:line="240" w:lineRule="auto"/>
    </w:pPr>
    <w:rPr>
      <w:rFonts w:ascii="Pragmatica" w:hAnsi="Pragmatica" w:eastAsia="Times New Roman" w:cs="Times New Roman"/>
      <w:b/>
      <w:sz w:val="20"/>
      <w:szCs w:val="20"/>
    </w:rPr>
  </w:style>
  <w:style w:type="character" w:styleId="690" w:customStyle="1">
    <w:name w:val="Основной текст Знак"/>
    <w:basedOn w:val="672"/>
    <w:uiPriority w:val="1"/>
  </w:style>
  <w:style w:type="paragraph" w:styleId="691">
    <w:name w:val="Header"/>
    <w:basedOn w:val="665"/>
    <w:link w:val="69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Pragmatica" w:hAnsi="Pragmatica" w:eastAsia="Times New Roman" w:cs="Times New Roman"/>
      <w:b/>
      <w:sz w:val="20"/>
      <w:szCs w:val="20"/>
    </w:rPr>
  </w:style>
  <w:style w:type="character" w:styleId="692" w:customStyle="1">
    <w:name w:val="Верхний колонтитул Знак"/>
    <w:basedOn w:val="672"/>
    <w:link w:val="691"/>
    <w:uiPriority w:val="99"/>
    <w:rPr>
      <w:rFonts w:ascii="Pragmatica" w:hAnsi="Pragmatica" w:eastAsia="Times New Roman" w:cs="Times New Roman"/>
      <w:b/>
      <w:sz w:val="20"/>
      <w:szCs w:val="20"/>
    </w:rPr>
  </w:style>
  <w:style w:type="paragraph" w:styleId="693">
    <w:name w:val="Footer"/>
    <w:basedOn w:val="665"/>
    <w:link w:val="694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Pragmatica" w:hAnsi="Pragmatica" w:eastAsia="Times New Roman" w:cs="Times New Roman"/>
      <w:b/>
      <w:sz w:val="20"/>
      <w:szCs w:val="20"/>
    </w:rPr>
  </w:style>
  <w:style w:type="character" w:styleId="694" w:customStyle="1">
    <w:name w:val="Нижний колонтитул Знак"/>
    <w:basedOn w:val="672"/>
    <w:link w:val="693"/>
    <w:uiPriority w:val="99"/>
    <w:rPr>
      <w:rFonts w:ascii="Pragmatica" w:hAnsi="Pragmatica" w:eastAsia="Times New Roman" w:cs="Times New Roman"/>
      <w:b/>
      <w:sz w:val="20"/>
      <w:szCs w:val="20"/>
    </w:rPr>
  </w:style>
  <w:style w:type="paragraph" w:styleId="695" w:customStyle="1">
    <w:name w:val="ConsPlusNonformat"/>
    <w:qFormat/>
    <w:pPr>
      <w:spacing w:after="0" w:line="240" w:lineRule="auto"/>
      <w:widowControl w:val="off"/>
    </w:pPr>
    <w:rPr>
      <w:rFonts w:ascii="Courier New" w:hAnsi="Courier New" w:eastAsia="Calibri" w:cs="Courier New"/>
      <w:sz w:val="20"/>
      <w:szCs w:val="20"/>
      <w:lang w:eastAsia="ru-RU"/>
    </w:rPr>
  </w:style>
  <w:style w:type="paragraph" w:styleId="696" w:customStyle="1">
    <w:name w:val="ConsPlusCell"/>
    <w:uiPriority w:val="99"/>
    <w:qFormat/>
    <w:pPr>
      <w:spacing w:after="0" w:line="240" w:lineRule="auto"/>
      <w:widowControl w:val="off"/>
    </w:pPr>
    <w:rPr>
      <w:rFonts w:ascii="Arial" w:hAnsi="Arial" w:eastAsia="Calibri" w:cs="Arial"/>
      <w:sz w:val="20"/>
      <w:szCs w:val="20"/>
      <w:lang w:eastAsia="ru-RU"/>
    </w:rPr>
  </w:style>
  <w:style w:type="paragraph" w:styleId="697">
    <w:name w:val="Balloon Text"/>
    <w:basedOn w:val="665"/>
    <w:link w:val="698"/>
    <w:uiPriority w:val="99"/>
    <w:pPr>
      <w:spacing w:after="0" w:line="240" w:lineRule="auto"/>
    </w:pPr>
    <w:rPr>
      <w:rFonts w:ascii="Tahoma" w:hAnsi="Tahoma" w:eastAsia="Times New Roman" w:cs="Times New Roman"/>
      <w:b/>
      <w:sz w:val="16"/>
      <w:szCs w:val="16"/>
    </w:rPr>
  </w:style>
  <w:style w:type="character" w:styleId="698" w:customStyle="1">
    <w:name w:val="Текст выноски Знак"/>
    <w:basedOn w:val="672"/>
    <w:link w:val="697"/>
    <w:uiPriority w:val="99"/>
    <w:rPr>
      <w:rFonts w:ascii="Tahoma" w:hAnsi="Tahoma" w:eastAsia="Times New Roman" w:cs="Times New Roman"/>
      <w:b/>
      <w:sz w:val="16"/>
      <w:szCs w:val="16"/>
    </w:rPr>
  </w:style>
  <w:style w:type="table" w:styleId="699" w:customStyle="1">
    <w:name w:val="Сетка таблицы1"/>
    <w:basedOn w:val="673"/>
    <w:next w:val="676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00" w:customStyle="1">
    <w:name w:val="apple-converted-space"/>
    <w:basedOn w:val="672"/>
  </w:style>
  <w:style w:type="paragraph" w:styleId="701" w:customStyle="1">
    <w:name w:val="Без интервала1"/>
    <w:qFormat/>
    <w:pPr>
      <w:spacing w:after="0" w:line="240" w:lineRule="auto"/>
    </w:pPr>
    <w:rPr>
      <w:rFonts w:ascii="Calibri" w:hAnsi="Calibri" w:eastAsia="Calibri" w:cs="Times New Roman"/>
      <w:lang w:eastAsia="ru-RU"/>
    </w:rPr>
  </w:style>
  <w:style w:type="character" w:styleId="702">
    <w:name w:val="page number"/>
    <w:basedOn w:val="672"/>
    <w:uiPriority w:val="99"/>
  </w:style>
  <w:style w:type="paragraph" w:styleId="703" w:customStyle="1">
    <w:name w:val="Средняя сетка 27"/>
    <w:link w:val="704"/>
    <w:uiPriority w:val="68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styleId="704" w:customStyle="1">
    <w:name w:val="Средняя сетка 2 Знак"/>
    <w:link w:val="703"/>
    <w:uiPriority w:val="68"/>
    <w:rPr>
      <w:rFonts w:ascii="Calibri" w:hAnsi="Calibri" w:eastAsia="Times New Roman" w:cs="Times New Roman"/>
      <w:lang w:eastAsia="ru-RU"/>
    </w:rPr>
  </w:style>
  <w:style w:type="paragraph" w:styleId="705">
    <w:name w:val="Body Text Indent"/>
    <w:basedOn w:val="665"/>
    <w:link w:val="706"/>
    <w:qFormat/>
    <w:pPr>
      <w:ind w:left="283"/>
      <w:spacing w:after="120" w:line="240" w:lineRule="auto"/>
    </w:pPr>
    <w:rPr>
      <w:rFonts w:ascii="Pragmatica" w:hAnsi="Pragmatica" w:eastAsia="Times New Roman" w:cs="Times New Roman"/>
      <w:b/>
      <w:sz w:val="20"/>
      <w:szCs w:val="20"/>
    </w:rPr>
  </w:style>
  <w:style w:type="character" w:styleId="706" w:customStyle="1">
    <w:name w:val="Основной текст с отступом Знак"/>
    <w:basedOn w:val="672"/>
    <w:link w:val="705"/>
    <w:rPr>
      <w:rFonts w:ascii="Pragmatica" w:hAnsi="Pragmatica" w:eastAsia="Times New Roman" w:cs="Times New Roman"/>
      <w:b/>
      <w:sz w:val="20"/>
      <w:szCs w:val="20"/>
    </w:rPr>
  </w:style>
  <w:style w:type="character" w:styleId="707">
    <w:name w:val="Hyperlink"/>
    <w:uiPriority w:val="99"/>
    <w:unhideWhenUsed/>
    <w:rPr>
      <w:color w:val="0000ff"/>
      <w:u w:val="single"/>
    </w:rPr>
  </w:style>
  <w:style w:type="character" w:styleId="708">
    <w:name w:val="FollowedHyperlink"/>
    <w:uiPriority w:val="99"/>
    <w:unhideWhenUsed/>
    <w:rPr>
      <w:color w:val="800080"/>
      <w:u w:val="single"/>
    </w:rPr>
  </w:style>
  <w:style w:type="numbering" w:styleId="709" w:customStyle="1">
    <w:name w:val="Нет списка11"/>
    <w:next w:val="674"/>
    <w:uiPriority w:val="99"/>
    <w:semiHidden/>
    <w:unhideWhenUsed/>
  </w:style>
  <w:style w:type="character" w:styleId="710" w:customStyle="1">
    <w:name w:val="Заголовок 2 Знак1"/>
    <w:uiPriority w:val="99"/>
    <w:semiHidden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711">
    <w:name w:val="HTML Preformatted"/>
    <w:basedOn w:val="665"/>
    <w:link w:val="712"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Times New Roman"/>
      <w:sz w:val="20"/>
      <w:szCs w:val="20"/>
    </w:rPr>
  </w:style>
  <w:style w:type="character" w:styleId="712" w:customStyle="1">
    <w:name w:val="Стандартный HTML Знак"/>
    <w:basedOn w:val="672"/>
    <w:link w:val="711"/>
    <w:rPr>
      <w:rFonts w:ascii="Courier New" w:hAnsi="Courier New" w:eastAsia="Times New Roman" w:cs="Times New Roman"/>
      <w:sz w:val="20"/>
      <w:szCs w:val="20"/>
    </w:rPr>
  </w:style>
  <w:style w:type="character" w:styleId="713" w:customStyle="1">
    <w:name w:val="Обычный (веб) Знак1"/>
    <w:link w:val="714"/>
    <w:rPr>
      <w:sz w:val="24"/>
      <w:szCs w:val="24"/>
    </w:rPr>
  </w:style>
  <w:style w:type="paragraph" w:styleId="714">
    <w:name w:val="Normal (Web)"/>
    <w:basedOn w:val="665"/>
    <w:link w:val="713"/>
    <w:uiPriority w:val="99"/>
    <w:unhideWhenUsed/>
    <w:qFormat/>
    <w:pPr>
      <w:ind w:left="708"/>
      <w:spacing w:after="0" w:line="240" w:lineRule="auto"/>
    </w:pPr>
    <w:rPr>
      <w:sz w:val="24"/>
      <w:szCs w:val="24"/>
    </w:rPr>
  </w:style>
  <w:style w:type="character" w:styleId="715" w:customStyle="1">
    <w:name w:val="Текст сноски Знак"/>
    <w:link w:val="716"/>
    <w:uiPriority w:val="99"/>
  </w:style>
  <w:style w:type="paragraph" w:styleId="716">
    <w:name w:val="footnote text"/>
    <w:basedOn w:val="665"/>
    <w:link w:val="715"/>
    <w:uiPriority w:val="99"/>
    <w:unhideWhenUsed/>
    <w:qFormat/>
    <w:pPr>
      <w:spacing w:after="0" w:line="240" w:lineRule="auto"/>
    </w:pPr>
  </w:style>
  <w:style w:type="character" w:styleId="717" w:customStyle="1">
    <w:name w:val="Текст сноски Знак1"/>
    <w:basedOn w:val="672"/>
    <w:rPr>
      <w:sz w:val="20"/>
      <w:szCs w:val="20"/>
    </w:rPr>
  </w:style>
  <w:style w:type="character" w:styleId="718" w:customStyle="1">
    <w:name w:val="Текст примечания Знак"/>
    <w:link w:val="731"/>
    <w:uiPriority w:val="99"/>
  </w:style>
  <w:style w:type="character" w:styleId="719" w:customStyle="1">
    <w:name w:val="Текст концевой сноски Знак"/>
    <w:link w:val="929"/>
    <w:uiPriority w:val="99"/>
    <w:rPr>
      <w:rFonts w:ascii="Calibri" w:hAnsi="Calibri"/>
    </w:rPr>
  </w:style>
  <w:style w:type="paragraph" w:styleId="720">
    <w:name w:val="Title"/>
    <w:basedOn w:val="665"/>
    <w:next w:val="665"/>
    <w:link w:val="916"/>
    <w:uiPriority w:val="99"/>
    <w:qFormat/>
    <w:pPr>
      <w:jc w:val="center"/>
      <w:spacing w:before="240" w:after="60" w:line="240" w:lineRule="auto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721" w:customStyle="1">
    <w:name w:val="Заголовок Знак"/>
    <w:basedOn w:val="672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22" w:customStyle="1">
    <w:name w:val="Название Знак"/>
    <w:uiPriority w:val="99"/>
    <w:rPr>
      <w:rFonts w:ascii="Cambria" w:hAnsi="Cambria" w:eastAsia="Times New Roman" w:cs="Times New Roman"/>
      <w:b/>
      <w:bCs/>
      <w:sz w:val="32"/>
      <w:szCs w:val="32"/>
    </w:rPr>
  </w:style>
  <w:style w:type="character" w:styleId="723" w:customStyle="1">
    <w:name w:val="Основной текст с отступом Знак1"/>
    <w:uiPriority w:val="99"/>
    <w:semiHidden/>
    <w:rPr>
      <w:sz w:val="24"/>
      <w:szCs w:val="24"/>
    </w:rPr>
  </w:style>
  <w:style w:type="character" w:styleId="724" w:customStyle="1">
    <w:name w:val="Подзаголовок Знак"/>
    <w:link w:val="927"/>
    <w:uiPriority w:val="11"/>
    <w:rPr>
      <w:b/>
      <w:sz w:val="24"/>
    </w:rPr>
  </w:style>
  <w:style w:type="character" w:styleId="725" w:customStyle="1">
    <w:name w:val="Основной текст Знак1"/>
    <w:semiHidden/>
    <w:rPr>
      <w:sz w:val="24"/>
      <w:szCs w:val="24"/>
    </w:rPr>
  </w:style>
  <w:style w:type="character" w:styleId="726" w:customStyle="1">
    <w:name w:val="Красная строка Знак"/>
    <w:link w:val="923"/>
  </w:style>
  <w:style w:type="character" w:styleId="727" w:customStyle="1">
    <w:name w:val="Основной текст 3 Знак"/>
    <w:link w:val="920"/>
    <w:uiPriority w:val="99"/>
    <w:rPr>
      <w:sz w:val="16"/>
      <w:szCs w:val="16"/>
    </w:rPr>
  </w:style>
  <w:style w:type="character" w:styleId="728" w:customStyle="1">
    <w:name w:val="Основной текст с отступом 2 Знак"/>
    <w:link w:val="911"/>
    <w:rPr>
      <w:sz w:val="24"/>
      <w:szCs w:val="24"/>
    </w:rPr>
  </w:style>
  <w:style w:type="character" w:styleId="729" w:customStyle="1">
    <w:name w:val="Основной текст с отступом 3 Знак"/>
    <w:link w:val="917"/>
    <w:rPr>
      <w:sz w:val="16"/>
      <w:szCs w:val="16"/>
    </w:rPr>
  </w:style>
  <w:style w:type="character" w:styleId="730" w:customStyle="1">
    <w:name w:val="Текст Знак"/>
    <w:link w:val="932"/>
    <w:uiPriority w:val="99"/>
    <w:rPr>
      <w:rFonts w:ascii="Consolas" w:hAnsi="Consolas"/>
      <w:sz w:val="21"/>
      <w:szCs w:val="21"/>
    </w:rPr>
  </w:style>
  <w:style w:type="paragraph" w:styleId="731">
    <w:name w:val="annotation text"/>
    <w:basedOn w:val="665"/>
    <w:link w:val="718"/>
    <w:uiPriority w:val="99"/>
    <w:unhideWhenUsed/>
    <w:pPr>
      <w:spacing w:after="0" w:line="240" w:lineRule="auto"/>
    </w:pPr>
  </w:style>
  <w:style w:type="character" w:styleId="732" w:customStyle="1">
    <w:name w:val="Текст примечания Знак1"/>
    <w:basedOn w:val="672"/>
    <w:rPr>
      <w:sz w:val="20"/>
      <w:szCs w:val="20"/>
    </w:rPr>
  </w:style>
  <w:style w:type="character" w:styleId="733" w:customStyle="1">
    <w:name w:val="Тема примечания Знак"/>
    <w:link w:val="935"/>
    <w:uiPriority w:val="99"/>
    <w:rPr>
      <w:b/>
      <w:bCs/>
    </w:rPr>
  </w:style>
  <w:style w:type="character" w:styleId="734" w:customStyle="1">
    <w:name w:val="Без интервала Знак"/>
    <w:link w:val="908"/>
    <w:rPr>
      <w:rFonts w:ascii="Calibri" w:hAnsi="Calibri"/>
    </w:rPr>
  </w:style>
  <w:style w:type="character" w:styleId="735" w:customStyle="1">
    <w:name w:val="Абзац списка Знак"/>
    <w:link w:val="675"/>
    <w:uiPriority w:val="34"/>
  </w:style>
  <w:style w:type="paragraph" w:styleId="736" w:customStyle="1">
    <w:name w:val="Обычный (паспорт)"/>
    <w:basedOn w:val="665"/>
    <w:qFormat/>
    <w:pPr>
      <w:jc w:val="both"/>
      <w:spacing w:before="120"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37" w:customStyle="1">
    <w:name w:val="Жирный (паспорт)"/>
    <w:basedOn w:val="665"/>
    <w:qFormat/>
    <w:pPr>
      <w:jc w:val="both"/>
      <w:spacing w:before="120" w:after="0" w:line="240" w:lineRule="auto"/>
    </w:pPr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paragraph" w:styleId="738" w:customStyle="1">
    <w:name w:val="Основной текст5"/>
    <w:basedOn w:val="665"/>
    <w:qFormat/>
    <w:pPr>
      <w:ind w:hanging="360"/>
      <w:jc w:val="center"/>
      <w:spacing w:after="300" w:line="274" w:lineRule="exact"/>
      <w:shd w:val="clear" w:color="auto" w:fill="ffffff"/>
      <w:widowControl w:val="off"/>
    </w:pPr>
    <w:rPr>
      <w:rFonts w:ascii="Times New Roman" w:hAnsi="Times New Roman" w:eastAsia="Times New Roman" w:cs="Times New Roman"/>
      <w:color w:val="000000"/>
      <w:spacing w:val="-1"/>
      <w:lang w:eastAsia="ru-RU"/>
    </w:rPr>
  </w:style>
  <w:style w:type="paragraph" w:styleId="739" w:customStyle="1">
    <w:name w:val="Знак Знак Знак Знак Знак Знак"/>
    <w:basedOn w:val="665"/>
    <w:qFormat/>
    <w:pPr>
      <w:ind w:left="432" w:hanging="432"/>
      <w:jc w:val="both"/>
      <w:spacing w:before="120" w:line="240" w:lineRule="auto"/>
      <w:tabs>
        <w:tab w:val="num" w:pos="432" w:leader="none"/>
        <w:tab w:val="left" w:pos="6159" w:leader="none"/>
      </w:tabs>
    </w:pPr>
    <w:rPr>
      <w:rFonts w:ascii="Times New Roman" w:hAnsi="Times New Roman" w:eastAsia="Times New Roman" w:cs="Times New Roman"/>
      <w:b/>
      <w:bCs/>
      <w:caps/>
      <w:sz w:val="32"/>
      <w:szCs w:val="32"/>
      <w:lang w:val="en-US"/>
    </w:rPr>
  </w:style>
  <w:style w:type="character" w:styleId="740" w:customStyle="1">
    <w:name w:val="ConsPlusNormal Знак"/>
    <w:link w:val="688"/>
    <w:rPr>
      <w:rFonts w:ascii="Arial" w:hAnsi="Arial" w:eastAsia="Times New Roman" w:cs="Arial"/>
      <w:sz w:val="20"/>
      <w:szCs w:val="20"/>
      <w:lang w:eastAsia="ru-RU"/>
    </w:rPr>
  </w:style>
  <w:style w:type="paragraph" w:styleId="741" w:customStyle="1">
    <w:name w:val="printj"/>
    <w:basedOn w:val="665"/>
    <w:qFormat/>
    <w:pPr>
      <w:jc w:val="both"/>
      <w:spacing w:before="144" w:after="288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2" w:customStyle="1">
    <w:name w:val="Нормальный Знак"/>
    <w:link w:val="743"/>
    <w:rPr>
      <w:rFonts w:eastAsia="Calibri"/>
      <w:sz w:val="26"/>
      <w:szCs w:val="26"/>
    </w:rPr>
  </w:style>
  <w:style w:type="paragraph" w:styleId="743" w:customStyle="1">
    <w:name w:val="Нормальный"/>
    <w:link w:val="742"/>
    <w:qFormat/>
    <w:pPr>
      <w:ind w:firstLine="567"/>
      <w:jc w:val="both"/>
      <w:spacing w:after="0" w:line="360" w:lineRule="auto"/>
    </w:pPr>
    <w:rPr>
      <w:rFonts w:eastAsia="Calibri"/>
      <w:sz w:val="26"/>
      <w:szCs w:val="26"/>
    </w:rPr>
  </w:style>
  <w:style w:type="paragraph" w:styleId="744" w:customStyle="1">
    <w:name w:val="Знак Знак Знак Знак Знак Знак Знак Знак Знак Знак Знак Знак Знак"/>
    <w:basedOn w:val="665"/>
    <w:qFormat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20"/>
      <w:szCs w:val="20"/>
      <w:lang w:val="en-US"/>
    </w:rPr>
  </w:style>
  <w:style w:type="paragraph" w:styleId="745" w:customStyle="1">
    <w:name w:val="Мой стиль"/>
    <w:basedOn w:val="665"/>
    <w:qFormat/>
    <w:pPr>
      <w:ind w:firstLine="567"/>
      <w:jc w:val="both"/>
      <w:spacing w:after="12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46" w:customStyle="1">
    <w:name w:val="Основной текст_"/>
    <w:link w:val="747"/>
    <w:rPr>
      <w:sz w:val="21"/>
      <w:szCs w:val="21"/>
      <w:shd w:val="clear" w:color="auto" w:fill="ffffff"/>
    </w:rPr>
  </w:style>
  <w:style w:type="paragraph" w:styleId="747" w:customStyle="1">
    <w:name w:val="Основной текст3"/>
    <w:basedOn w:val="665"/>
    <w:link w:val="746"/>
    <w:qFormat/>
    <w:pPr>
      <w:jc w:val="both"/>
      <w:spacing w:before="780" w:after="0" w:line="250" w:lineRule="exact"/>
      <w:shd w:val="clear" w:color="auto" w:fill="ffffff"/>
    </w:pPr>
    <w:rPr>
      <w:sz w:val="21"/>
      <w:szCs w:val="21"/>
    </w:rPr>
  </w:style>
  <w:style w:type="paragraph" w:styleId="748" w:customStyle="1">
    <w:name w:val="Знак"/>
    <w:basedOn w:val="665"/>
    <w:next w:val="665"/>
    <w:qFormat/>
    <w:pPr>
      <w:ind w:firstLine="720"/>
      <w:spacing w:line="240" w:lineRule="exact"/>
    </w:pPr>
    <w:rPr>
      <w:rFonts w:ascii="Verdana" w:hAnsi="Verdana" w:eastAsia="Times New Roman" w:cs="Times New Roman"/>
      <w:sz w:val="24"/>
      <w:szCs w:val="24"/>
      <w:lang w:val="en-US"/>
    </w:rPr>
  </w:style>
  <w:style w:type="paragraph" w:styleId="749" w:customStyle="1">
    <w:name w:val="Знак Знак Знак Знак Знак Знак Знак Знак Знак Знак"/>
    <w:basedOn w:val="665"/>
    <w:qFormat/>
    <w:pPr>
      <w:spacing w:line="240" w:lineRule="exact"/>
    </w:pPr>
    <w:rPr>
      <w:rFonts w:ascii="Verdana" w:hAnsi="Verdana" w:eastAsia="Times New Roman" w:cs="Times New Roman"/>
      <w:sz w:val="24"/>
      <w:szCs w:val="24"/>
      <w:lang w:val="en-US"/>
    </w:rPr>
  </w:style>
  <w:style w:type="paragraph" w:styleId="750" w:customStyle="1">
    <w:name w:val="Абзац списка1"/>
    <w:basedOn w:val="665"/>
    <w:uiPriority w:val="99"/>
    <w:qFormat/>
    <w:pPr>
      <w:ind w:left="720"/>
      <w:spacing w:after="200" w:line="276" w:lineRule="auto"/>
    </w:pPr>
    <w:rPr>
      <w:rFonts w:ascii="Calibri" w:hAnsi="Calibri" w:eastAsia="Times New Roman" w:cs="Calibri"/>
      <w:lang w:eastAsia="ru-RU"/>
    </w:rPr>
  </w:style>
  <w:style w:type="paragraph" w:styleId="751" w:customStyle="1">
    <w:name w:val="Текст в заданном формате"/>
    <w:basedOn w:val="665"/>
    <w:qFormat/>
    <w:pPr>
      <w:spacing w:after="0" w:line="240" w:lineRule="auto"/>
      <w:widowControl w:val="off"/>
    </w:pPr>
    <w:rPr>
      <w:rFonts w:ascii="Courier New" w:hAnsi="Courier New" w:eastAsia="Courier New" w:cs="Courier New"/>
      <w:sz w:val="20"/>
      <w:szCs w:val="20"/>
      <w:lang w:eastAsia="ru-RU"/>
    </w:rPr>
  </w:style>
  <w:style w:type="paragraph" w:styleId="752" w:customStyle="1">
    <w:name w:val="Знак2 Знак Знак Знак Знак Знак Знак"/>
    <w:basedOn w:val="665"/>
    <w:qFormat/>
    <w:pPr>
      <w:spacing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753" w:customStyle="1">
    <w:name w:val="Прижатый влево"/>
    <w:basedOn w:val="665"/>
    <w:next w:val="665"/>
    <w:uiPriority w:val="99"/>
    <w:qFormat/>
    <w:pPr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754" w:customStyle="1">
    <w:name w:val="Стиль заголовка 1"/>
    <w:basedOn w:val="665"/>
    <w:qFormat/>
    <w:pPr>
      <w:ind w:left="720" w:right="-7" w:hanging="360"/>
      <w:jc w:val="center"/>
      <w:spacing w:after="0" w:line="240" w:lineRule="auto"/>
      <w:shd w:val="clear" w:color="auto" w:fill="ffffff"/>
      <w:outlineLvl w:val="0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755" w:customStyle="1">
    <w:name w:val="Основной"/>
    <w:basedOn w:val="665"/>
    <w:qFormat/>
    <w:pPr>
      <w:ind w:firstLine="720"/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56" w:customStyle="1">
    <w:name w:val="АсписокГаля"/>
    <w:basedOn w:val="687"/>
    <w:qFormat/>
    <w:pPr>
      <w:ind w:left="720" w:hanging="360"/>
      <w:jc w:val="both"/>
      <w:widowControl/>
    </w:pPr>
    <w:rPr>
      <w:rFonts w:ascii="Times New Roman" w:hAnsi="Times New Roman" w:cs="Times New Roman"/>
      <w:b w:val="0"/>
      <w:sz w:val="28"/>
      <w:szCs w:val="28"/>
    </w:rPr>
  </w:style>
  <w:style w:type="paragraph" w:styleId="757" w:customStyle="1">
    <w:name w:val="Обычный + По центру"/>
    <w:basedOn w:val="720"/>
    <w:qFormat/>
    <w:pPr>
      <w:spacing w:before="0" w:after="120" w:line="360" w:lineRule="exact"/>
      <w:widowControl w:val="off"/>
    </w:pPr>
    <w:rPr>
      <w:rFonts w:ascii="Times New Roman" w:hAnsi="Times New Roman" w:eastAsia="Calibri"/>
      <w:b w:val="0"/>
      <w:sz w:val="28"/>
      <w:szCs w:val="28"/>
      <w:lang w:eastAsia="en-US"/>
    </w:rPr>
  </w:style>
  <w:style w:type="paragraph" w:styleId="758" w:customStyle="1">
    <w:name w:val="Обычный + Первая строка:  1"/>
    <w:basedOn w:val="720"/>
    <w:qFormat/>
    <w:pPr>
      <w:ind w:firstLine="709"/>
      <w:jc w:val="both"/>
      <w:spacing w:before="0" w:after="0" w:line="360" w:lineRule="exact"/>
      <w:widowControl w:val="off"/>
      <w:outlineLvl w:val="9"/>
    </w:pPr>
    <w:rPr>
      <w:rFonts w:ascii="Times New Roman" w:hAnsi="Times New Roman" w:eastAsia="Calibri"/>
      <w:b w:val="0"/>
      <w:sz w:val="28"/>
      <w:szCs w:val="28"/>
      <w:lang w:eastAsia="en-US"/>
    </w:rPr>
  </w:style>
  <w:style w:type="character" w:styleId="759" w:customStyle="1">
    <w:name w:val="Стиль заголовка 2 Знак"/>
    <w:link w:val="760"/>
    <w:rPr>
      <w:b/>
      <w:bCs/>
      <w:color w:val="000000"/>
      <w:sz w:val="24"/>
      <w:szCs w:val="24"/>
      <w:shd w:val="clear" w:color="auto" w:fill="ffffff"/>
    </w:rPr>
  </w:style>
  <w:style w:type="paragraph" w:styleId="760" w:customStyle="1">
    <w:name w:val="Стиль заголовка 2"/>
    <w:basedOn w:val="665"/>
    <w:link w:val="759"/>
    <w:qFormat/>
    <w:pPr>
      <w:jc w:val="center"/>
      <w:spacing w:after="0" w:line="240" w:lineRule="auto"/>
      <w:shd w:val="clear" w:color="auto" w:fill="ffffff"/>
      <w:outlineLvl w:val="1"/>
    </w:pPr>
    <w:rPr>
      <w:b/>
      <w:bCs/>
      <w:color w:val="000000"/>
      <w:sz w:val="24"/>
      <w:szCs w:val="24"/>
    </w:rPr>
  </w:style>
  <w:style w:type="paragraph" w:styleId="761" w:customStyle="1">
    <w:name w:val="Текст (справка)"/>
    <w:basedOn w:val="665"/>
    <w:next w:val="665"/>
    <w:uiPriority w:val="99"/>
    <w:qFormat/>
    <w:pPr>
      <w:ind w:left="170" w:right="170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762" w:customStyle="1">
    <w:name w:val="Нормальный (таблица)"/>
    <w:basedOn w:val="665"/>
    <w:next w:val="665"/>
    <w:uiPriority w:val="99"/>
    <w:qFormat/>
    <w:pPr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character" w:styleId="763" w:customStyle="1">
    <w:name w:val="стиль2 Знак Знак"/>
    <w:link w:val="764"/>
    <w:rPr>
      <w:b/>
      <w:color w:val="000000"/>
      <w:sz w:val="28"/>
      <w:szCs w:val="28"/>
      <w:shd w:val="clear" w:color="auto" w:fill="ffffff"/>
    </w:rPr>
  </w:style>
  <w:style w:type="paragraph" w:styleId="764" w:customStyle="1">
    <w:name w:val="стиль2 Знак"/>
    <w:basedOn w:val="665"/>
    <w:link w:val="763"/>
    <w:qFormat/>
    <w:pPr>
      <w:jc w:val="center"/>
      <w:spacing w:after="0" w:line="240" w:lineRule="auto"/>
      <w:shd w:val="clear" w:color="auto" w:fill="ffffff"/>
      <w:widowControl w:val="off"/>
      <w:tabs>
        <w:tab w:val="left" w:pos="1440" w:leader="none"/>
      </w:tabs>
    </w:pPr>
    <w:rPr>
      <w:b/>
      <w:color w:val="000000"/>
      <w:sz w:val="28"/>
      <w:szCs w:val="28"/>
    </w:rPr>
  </w:style>
  <w:style w:type="paragraph" w:styleId="765" w:customStyle="1">
    <w:name w:val="ConsCell"/>
    <w:qFormat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66" w:customStyle="1">
    <w:name w:val="ConsNormal"/>
    <w:qFormat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67" w:customStyle="1">
    <w:name w:val="Style51"/>
    <w:basedOn w:val="665"/>
    <w:qFormat/>
    <w:pPr>
      <w:ind w:firstLine="533"/>
      <w:jc w:val="both"/>
      <w:spacing w:after="0" w:line="315" w:lineRule="exact"/>
      <w:widowControl w:val="off"/>
    </w:pPr>
    <w:rPr>
      <w:rFonts w:ascii="Century Schoolbook" w:hAnsi="Century Schoolbook" w:eastAsia="Times New Roman" w:cs="Times New Roman"/>
      <w:sz w:val="24"/>
      <w:szCs w:val="24"/>
      <w:lang w:eastAsia="ru-RU"/>
    </w:rPr>
  </w:style>
  <w:style w:type="paragraph" w:styleId="768" w:customStyle="1">
    <w:name w:val="ЗтекстГаля"/>
    <w:basedOn w:val="665"/>
    <w:qFormat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69" w:customStyle="1">
    <w:name w:val="список 1"/>
    <w:basedOn w:val="665"/>
    <w:qFormat/>
    <w:pPr>
      <w:ind w:firstLine="868"/>
      <w:jc w:val="both"/>
      <w:spacing w:after="0" w:line="240" w:lineRule="auto"/>
      <w:tabs>
        <w:tab w:val="left" w:pos="1080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0" w:customStyle="1">
    <w:name w:val="Стиль1"/>
    <w:basedOn w:val="714"/>
    <w:qFormat/>
    <w:pPr>
      <w:ind w:left="0" w:firstLine="709"/>
      <w:jc w:val="both"/>
    </w:pPr>
    <w:rPr>
      <w:sz w:val="28"/>
      <w:szCs w:val="28"/>
    </w:rPr>
  </w:style>
  <w:style w:type="character" w:styleId="771" w:customStyle="1">
    <w:name w:val="стиль1 Знак"/>
    <w:link w:val="772"/>
    <w:rPr>
      <w:b/>
      <w:bCs/>
      <w:color w:val="000000"/>
      <w:sz w:val="28"/>
      <w:szCs w:val="28"/>
      <w:shd w:val="clear" w:color="auto" w:fill="ffffff"/>
    </w:rPr>
  </w:style>
  <w:style w:type="paragraph" w:styleId="772" w:customStyle="1">
    <w:name w:val="стиль1"/>
    <w:basedOn w:val="665"/>
    <w:link w:val="771"/>
    <w:qFormat/>
    <w:pPr>
      <w:ind w:right="-287"/>
      <w:jc w:val="center"/>
      <w:spacing w:after="0" w:line="240" w:lineRule="auto"/>
      <w:shd w:val="clear" w:color="auto" w:fill="ffffff"/>
    </w:pPr>
    <w:rPr>
      <w:b/>
      <w:bCs/>
      <w:color w:val="000000"/>
      <w:sz w:val="28"/>
      <w:szCs w:val="28"/>
    </w:rPr>
  </w:style>
  <w:style w:type="paragraph" w:styleId="773" w:customStyle="1">
    <w:name w:val="Стиль3"/>
    <w:basedOn w:val="665"/>
    <w:qFormat/>
    <w:pPr>
      <w:jc w:val="center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b/>
      <w:bCs/>
      <w:color w:val="000000"/>
      <w:sz w:val="52"/>
      <w:szCs w:val="52"/>
      <w:lang w:eastAsia="ru-RU"/>
    </w:rPr>
  </w:style>
  <w:style w:type="paragraph" w:styleId="774" w:customStyle="1">
    <w:name w:val="jst"/>
    <w:basedOn w:val="665"/>
    <w:qFormat/>
    <w:pPr>
      <w:jc w:val="both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5">
    <w:name w:val="List Number 2"/>
    <w:basedOn w:val="665"/>
    <w:unhideWhenUsed/>
    <w:pPr>
      <w:numPr>
        <w:ilvl w:val="0"/>
        <w:numId w:val="1"/>
      </w:numPr>
      <w:contextualSpacing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6" w:customStyle="1">
    <w:name w:val="OTCHET_00"/>
    <w:basedOn w:val="775"/>
    <w:qFormat/>
    <w:pPr>
      <w:numPr>
        <w:ilvl w:val="0"/>
        <w:numId w:val="0"/>
      </w:numPr>
      <w:contextualSpacing w:val="0"/>
      <w:jc w:val="both"/>
      <w:spacing w:line="360" w:lineRule="auto"/>
      <w:tabs>
        <w:tab w:val="num" w:pos="313" w:leader="none"/>
        <w:tab w:val="num" w:pos="643" w:leader="none"/>
        <w:tab w:val="left" w:pos="720" w:leader="none"/>
        <w:tab w:val="left" w:pos="3402" w:leader="none"/>
      </w:tabs>
    </w:pPr>
    <w:rPr>
      <w:rFonts w:ascii="NTTimes/Cyrillic" w:hAnsi="NTTimes/Cyrillic"/>
      <w:szCs w:val="20"/>
    </w:rPr>
  </w:style>
  <w:style w:type="paragraph" w:styleId="777" w:customStyle="1">
    <w:name w:val="Таблицы (моноширинный)"/>
    <w:basedOn w:val="665"/>
    <w:next w:val="665"/>
    <w:qFormat/>
    <w:pPr>
      <w:jc w:val="both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78" w:customStyle="1">
    <w:name w:val="Знак Знак9 Знак Знак Знак Знак"/>
    <w:basedOn w:val="665"/>
    <w:qFormat/>
    <w:pPr>
      <w:ind w:firstLine="720"/>
      <w:jc w:val="both"/>
      <w:spacing w:line="240" w:lineRule="exact"/>
      <w:widowControl w:val="off"/>
    </w:pPr>
    <w:rPr>
      <w:rFonts w:ascii="Verdana" w:hAnsi="Verdana" w:eastAsia="Times New Roman" w:cs="Arial"/>
      <w:sz w:val="20"/>
      <w:szCs w:val="20"/>
      <w:lang w:val="en-US"/>
    </w:rPr>
  </w:style>
  <w:style w:type="paragraph" w:styleId="779" w:customStyle="1">
    <w:name w:val="Default"/>
    <w:qFormat/>
    <w:pPr>
      <w:spacing w:after="0" w:line="240" w:lineRule="auto"/>
    </w:pPr>
    <w:rPr>
      <w:rFonts w:ascii="Arial Narrow" w:hAnsi="Arial Narrow" w:eastAsia="Times New Roman" w:cs="Arial Narrow"/>
      <w:color w:val="000000"/>
      <w:sz w:val="24"/>
      <w:szCs w:val="24"/>
      <w:lang w:eastAsia="ru-RU"/>
    </w:rPr>
  </w:style>
  <w:style w:type="character" w:styleId="780" w:customStyle="1">
    <w:name w:val="Body Text Indent Char"/>
    <w:link w:val="781"/>
    <w:uiPriority w:val="99"/>
    <w:semiHidden/>
    <w:rPr>
      <w:rFonts w:ascii="TimesET" w:hAnsi="TimesET" w:cs="TimesET"/>
    </w:rPr>
  </w:style>
  <w:style w:type="paragraph" w:styleId="781" w:customStyle="1">
    <w:name w:val="Основной текст с отступом1"/>
    <w:basedOn w:val="665"/>
    <w:link w:val="780"/>
    <w:uiPriority w:val="99"/>
    <w:semiHidden/>
    <w:qFormat/>
    <w:pPr>
      <w:ind w:firstLine="720"/>
      <w:jc w:val="both"/>
      <w:spacing w:after="0" w:line="240" w:lineRule="auto"/>
    </w:pPr>
    <w:rPr>
      <w:rFonts w:ascii="TimesET" w:hAnsi="TimesET" w:cs="TimesET"/>
    </w:rPr>
  </w:style>
  <w:style w:type="paragraph" w:styleId="782" w:customStyle="1">
    <w:name w:val="Знак Знак Знак Знак Знак Знак Знак"/>
    <w:basedOn w:val="665"/>
    <w:uiPriority w:val="99"/>
    <w:qFormat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20"/>
      <w:szCs w:val="20"/>
      <w:lang w:val="en-US"/>
    </w:rPr>
  </w:style>
  <w:style w:type="paragraph" w:styleId="783" w:customStyle="1">
    <w:name w:val="Знак1"/>
    <w:basedOn w:val="665"/>
    <w:uiPriority w:val="99"/>
    <w:qFormat/>
    <w:pPr>
      <w:spacing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784" w:customStyle="1">
    <w:name w:val="Знак Знак Знак Знак Знак Знак Знак Знак Знак Знак Знак Знак Знак Знак Знак Знак Знак Знак Знак Знак Знак Знак Знак Знак"/>
    <w:basedOn w:val="665"/>
    <w:uiPriority w:val="99"/>
    <w:qFormat/>
    <w:pPr>
      <w:spacing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785" w:customStyle="1">
    <w:name w:val="Знак Знак Знак Знак Знак Знак Знак1"/>
    <w:basedOn w:val="665"/>
    <w:uiPriority w:val="99"/>
    <w:qFormat/>
    <w:pPr>
      <w:spacing w:before="100" w:beforeAutospacing="1" w:after="100" w:afterAutospacing="1" w:line="240" w:lineRule="auto"/>
    </w:pPr>
    <w:rPr>
      <w:rFonts w:ascii="Tahoma" w:hAnsi="Tahoma" w:eastAsia="Times New Roman" w:cs="Tahoma"/>
      <w:sz w:val="20"/>
      <w:szCs w:val="20"/>
      <w:lang w:val="en-US"/>
    </w:rPr>
  </w:style>
  <w:style w:type="paragraph" w:styleId="786" w:customStyle="1">
    <w:name w:val="Знак Знак Знак Знак Знак Знак Знак Знак Знак Знак Знак Знак Знак Знак Знак Знак Знак Знак Знак Знак Знак Знак Знак Знак1"/>
    <w:basedOn w:val="665"/>
    <w:uiPriority w:val="99"/>
    <w:qFormat/>
    <w:pPr>
      <w:spacing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787" w:customStyle="1">
    <w:name w:val="Основной текст с отступом 22"/>
    <w:basedOn w:val="665"/>
    <w:uiPriority w:val="99"/>
    <w:qFormat/>
    <w:pPr>
      <w:ind w:firstLine="709"/>
      <w:spacing w:after="0" w:line="360" w:lineRule="auto"/>
    </w:pPr>
    <w:rPr>
      <w:rFonts w:ascii="Times New Roman" w:hAnsi="Times New Roman" w:eastAsia="Times New Roman" w:cs="Times New Roman"/>
      <w:i/>
      <w:iCs/>
      <w:color w:val="ff0000"/>
      <w:sz w:val="24"/>
      <w:szCs w:val="24"/>
      <w:lang w:eastAsia="ar-SA"/>
    </w:rPr>
  </w:style>
  <w:style w:type="paragraph" w:styleId="788" w:customStyle="1">
    <w:name w:val="Знак2"/>
    <w:basedOn w:val="665"/>
    <w:uiPriority w:val="99"/>
    <w:qFormat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styleId="789" w:customStyle="1">
    <w:name w:val="style6"/>
    <w:basedOn w:val="665"/>
    <w:uiPriority w:val="99"/>
    <w:qFormat/>
    <w:pPr>
      <w:jc w:val="center"/>
      <w:spacing w:after="0" w:line="322" w:lineRule="atLeast"/>
    </w:pPr>
    <w:rPr>
      <w:rFonts w:ascii="Calibri" w:hAnsi="Calibri" w:eastAsia="Calibri" w:cs="Calibri"/>
      <w:sz w:val="24"/>
      <w:szCs w:val="24"/>
      <w:lang w:eastAsia="ru-RU"/>
    </w:rPr>
  </w:style>
  <w:style w:type="paragraph" w:styleId="790" w:customStyle="1">
    <w:name w:val="Основной текст 22"/>
    <w:basedOn w:val="665"/>
    <w:uiPriority w:val="99"/>
    <w:qFormat/>
    <w:pPr>
      <w:ind w:firstLine="720"/>
      <w:jc w:val="both"/>
      <w:spacing w:after="0" w:line="320" w:lineRule="exact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91">
    <w:name w:val="List Bullet"/>
    <w:basedOn w:val="665"/>
    <w:uiPriority w:val="99"/>
    <w:unhideWhenUsed/>
    <w:pPr>
      <w:numPr>
        <w:ilvl w:val="0"/>
        <w:numId w:val="2"/>
      </w:numPr>
      <w:contextualSpacing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92" w:customStyle="1">
    <w:name w:val="S_Маркированный Знак Знак"/>
    <w:link w:val="793"/>
    <w:uiPriority w:val="99"/>
    <w:rPr>
      <w:sz w:val="24"/>
      <w:szCs w:val="24"/>
    </w:rPr>
  </w:style>
  <w:style w:type="paragraph" w:styleId="793" w:customStyle="1">
    <w:name w:val="S_Маркированный"/>
    <w:basedOn w:val="791"/>
    <w:link w:val="792"/>
    <w:uiPriority w:val="99"/>
    <w:qFormat/>
    <w:pPr>
      <w:numPr>
        <w:ilvl w:val="0"/>
        <w:numId w:val="0"/>
      </w:numPr>
      <w:contextualSpacing w:val="0"/>
      <w:ind w:firstLine="709"/>
      <w:jc w:val="both"/>
    </w:pPr>
    <w:rPr>
      <w:rFonts w:asciiTheme="minorHAnsi" w:hAnsiTheme="minorHAnsi" w:eastAsiaTheme="minorHAnsi" w:cstheme="minorBidi"/>
      <w:lang w:eastAsia="en-US"/>
    </w:rPr>
  </w:style>
  <w:style w:type="paragraph" w:styleId="794" w:customStyle="1">
    <w:name w:val="Обычный+14п"/>
    <w:basedOn w:val="689"/>
    <w:uiPriority w:val="99"/>
    <w:qFormat/>
    <w:pPr>
      <w:ind w:firstLine="360"/>
      <w:jc w:val="both"/>
      <w:spacing w:after="0"/>
    </w:pPr>
    <w:rPr>
      <w:rFonts w:ascii="Times New Roman" w:hAnsi="Times New Roman"/>
      <w:b w:val="0"/>
      <w:sz w:val="28"/>
      <w:szCs w:val="28"/>
      <w:lang w:eastAsia="en-US"/>
    </w:rPr>
  </w:style>
  <w:style w:type="paragraph" w:styleId="795" w:customStyle="1">
    <w:name w:val="ЗаголовокГаля4"/>
    <w:basedOn w:val="665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sz w:val="28"/>
      <w:szCs w:val="28"/>
      <w:lang w:eastAsia="ru-RU"/>
    </w:rPr>
  </w:style>
  <w:style w:type="paragraph" w:styleId="796" w:customStyle="1">
    <w:name w:val="ТекстГаля"/>
    <w:basedOn w:val="665"/>
    <w:qFormat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97" w:customStyle="1">
    <w:name w:val="ТекстГаля2"/>
    <w:basedOn w:val="777"/>
    <w:qFormat/>
    <w:pPr>
      <w:numPr>
        <w:ilvl w:val="0"/>
        <w:numId w:val="3"/>
      </w:numPr>
      <w:ind w:left="0" w:firstLine="0"/>
      <w:widowControl w:val="off"/>
    </w:pPr>
    <w:rPr>
      <w:rFonts w:ascii="Times New Roman" w:hAnsi="Times New Roman" w:cs="Times New Roman"/>
      <w:sz w:val="24"/>
      <w:szCs w:val="22"/>
    </w:rPr>
  </w:style>
  <w:style w:type="paragraph" w:styleId="798" w:customStyle="1">
    <w:name w:val="Название таблицы"/>
    <w:basedOn w:val="665"/>
    <w:qFormat/>
    <w:pPr>
      <w:jc w:val="right"/>
      <w:spacing w:before="120" w:after="120" w:line="240" w:lineRule="auto"/>
    </w:pPr>
    <w:rPr>
      <w:rFonts w:ascii="Times New Roman" w:hAnsi="Times New Roman" w:eastAsia="Times New Roman" w:cs="Times New Roman"/>
      <w:b/>
      <w:szCs w:val="24"/>
      <w:lang w:eastAsia="ru-RU"/>
    </w:rPr>
  </w:style>
  <w:style w:type="paragraph" w:styleId="799" w:customStyle="1">
    <w:name w:val="текст таблицы-цифры"/>
    <w:basedOn w:val="665"/>
    <w:qFormat/>
    <w:pPr>
      <w:jc w:val="right"/>
      <w:spacing w:before="120" w:after="120" w:line="240" w:lineRule="auto"/>
    </w:pPr>
    <w:rPr>
      <w:rFonts w:ascii="Times New Roman" w:hAnsi="Times New Roman" w:eastAsia="Times New Roman" w:cs="Times New Roman"/>
      <w:szCs w:val="32"/>
      <w:lang w:eastAsia="ru-RU"/>
    </w:rPr>
  </w:style>
  <w:style w:type="paragraph" w:styleId="800" w:customStyle="1">
    <w:name w:val="текст таблицы-полужирный"/>
    <w:basedOn w:val="665"/>
    <w:qFormat/>
    <w:pPr>
      <w:jc w:val="center"/>
      <w:keepNext/>
      <w:spacing w:before="120" w:after="120" w:line="240" w:lineRule="auto"/>
    </w:pPr>
    <w:rPr>
      <w:rFonts w:ascii="Times New Roman" w:hAnsi="Times New Roman" w:eastAsia="Times New Roman" w:cs="Times New Roman"/>
      <w:b/>
      <w:szCs w:val="24"/>
      <w:lang w:eastAsia="ru-RU"/>
    </w:rPr>
  </w:style>
  <w:style w:type="paragraph" w:styleId="801" w:customStyle="1">
    <w:name w:val="текст таблицы"/>
    <w:basedOn w:val="665"/>
    <w:qFormat/>
    <w:pPr>
      <w:ind w:left="113"/>
      <w:keepNext/>
      <w:spacing w:before="120" w:after="120" w:line="240" w:lineRule="auto"/>
    </w:pPr>
    <w:rPr>
      <w:rFonts w:ascii="Times New Roman" w:hAnsi="Times New Roman" w:eastAsia="Times New Roman" w:cs="Times New Roman"/>
      <w:szCs w:val="24"/>
      <w:lang w:eastAsia="ru-RU"/>
    </w:rPr>
  </w:style>
  <w:style w:type="paragraph" w:styleId="802" w:customStyle="1">
    <w:name w:val="ConsNonformat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03" w:customStyle="1">
    <w:name w:val="ConsTitle"/>
    <w:qFormat/>
    <w:pPr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804" w:customStyle="1">
    <w:name w:val="Body Text 22"/>
    <w:basedOn w:val="665"/>
    <w:qFormat/>
    <w:pPr>
      <w:ind w:left="70" w:firstLine="780"/>
      <w:jc w:val="both"/>
      <w:spacing w:after="0" w:line="240" w:lineRule="auto"/>
      <w:tabs>
        <w:tab w:val="left" w:pos="4748" w:leader="none"/>
        <w:tab w:val="left" w:pos="6449" w:leader="none"/>
      </w:tabs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05" w:customStyle="1">
    <w:name w:val="Основной текст с отступом 21"/>
    <w:basedOn w:val="665"/>
    <w:qFormat/>
    <w:pPr>
      <w:ind w:firstLine="851"/>
      <w:jc w:val="both"/>
      <w:spacing w:after="0" w:line="240" w:lineRule="auto"/>
    </w:pPr>
    <w:rPr>
      <w:rFonts w:ascii="NTTimes/Cyrillic" w:hAnsi="NTTimes/Cyrillic" w:eastAsia="Times New Roman" w:cs="Times New Roman"/>
      <w:i/>
      <w:sz w:val="28"/>
      <w:szCs w:val="20"/>
      <w:lang w:eastAsia="ru-RU"/>
    </w:rPr>
  </w:style>
  <w:style w:type="paragraph" w:styleId="806" w:customStyle="1">
    <w:name w:val="Обычный1"/>
    <w:qFormat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07" w:customStyle="1">
    <w:name w:val="приложение"/>
    <w:basedOn w:val="665"/>
    <w:qFormat/>
    <w:pPr>
      <w:ind w:right="106"/>
      <w:jc w:val="right"/>
      <w:spacing w:after="0" w:line="240" w:lineRule="auto"/>
      <w:shd w:val="clear" w:color="auto" w:fill="ffffff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808" w:customStyle="1">
    <w:name w:val="заголовок прилож Знак"/>
    <w:link w:val="809"/>
    <w:rPr>
      <w:b/>
      <w:bCs/>
      <w:color w:val="000000"/>
      <w:sz w:val="28"/>
      <w:szCs w:val="28"/>
      <w:shd w:val="clear" w:color="auto" w:fill="ffffff"/>
    </w:rPr>
  </w:style>
  <w:style w:type="paragraph" w:styleId="809" w:customStyle="1">
    <w:name w:val="заголовок прилож"/>
    <w:basedOn w:val="665"/>
    <w:link w:val="808"/>
    <w:qFormat/>
    <w:pPr>
      <w:ind w:right="106"/>
      <w:jc w:val="center"/>
      <w:spacing w:after="0" w:line="240" w:lineRule="auto"/>
      <w:shd w:val="clear" w:color="auto" w:fill="ffffff"/>
    </w:pPr>
    <w:rPr>
      <w:b/>
      <w:bCs/>
      <w:color w:val="000000"/>
      <w:sz w:val="28"/>
      <w:szCs w:val="28"/>
    </w:rPr>
  </w:style>
  <w:style w:type="paragraph" w:styleId="810" w:customStyle="1">
    <w:name w:val="Body Text 21"/>
    <w:basedOn w:val="665"/>
    <w:qFormat/>
    <w:pPr>
      <w:ind w:firstLine="720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11" w:customStyle="1">
    <w:name w:val="стиль текста"/>
    <w:basedOn w:val="714"/>
    <w:qFormat/>
    <w:pPr>
      <w:ind w:left="0"/>
      <w:spacing w:before="100" w:beforeAutospacing="1" w:after="100" w:afterAutospacing="1"/>
    </w:pPr>
    <w:rPr>
      <w:rFonts w:ascii="Arial Unicode MS" w:hAnsi="Arial Unicode MS" w:eastAsia="Arial Unicode MS"/>
    </w:rPr>
  </w:style>
  <w:style w:type="paragraph" w:styleId="812" w:customStyle="1">
    <w:name w:val="font5"/>
    <w:basedOn w:val="665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813" w:customStyle="1">
    <w:name w:val="xl24"/>
    <w:basedOn w:val="665"/>
    <w:qFormat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14" w:customStyle="1">
    <w:name w:val="xl25"/>
    <w:basedOn w:val="665"/>
    <w:qFormat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15" w:customStyle="1">
    <w:name w:val="xl26"/>
    <w:basedOn w:val="665"/>
    <w:qFormat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816" w:customStyle="1">
    <w:name w:val="xl27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817" w:customStyle="1">
    <w:name w:val="xl28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8" w:customStyle="1">
    <w:name w:val="xl29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19" w:customStyle="1">
    <w:name w:val="xl30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20" w:customStyle="1">
    <w:name w:val="xl31"/>
    <w:basedOn w:val="665"/>
    <w:qFormat/>
    <w:pPr>
      <w:jc w:val="right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1" w:customStyle="1">
    <w:name w:val="xl32"/>
    <w:basedOn w:val="665"/>
    <w:qFormat/>
    <w:pPr>
      <w:jc w:val="right"/>
      <w:spacing w:before="100" w:beforeAutospacing="1" w:after="100" w:afterAutospacing="1" w:line="240" w:lineRule="auto"/>
      <w:shd w:val="clear" w:color="auto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2" w:customStyle="1">
    <w:name w:val="xl33"/>
    <w:basedOn w:val="665"/>
    <w:qFormat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823" w:customStyle="1">
    <w:name w:val="xl34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8"/>
      <w:szCs w:val="18"/>
      <w:lang w:eastAsia="ru-RU"/>
    </w:rPr>
  </w:style>
  <w:style w:type="paragraph" w:styleId="824" w:customStyle="1">
    <w:name w:val="xl35"/>
    <w:basedOn w:val="665"/>
    <w:qFormat/>
    <w:pPr>
      <w:jc w:val="center"/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18"/>
      <w:szCs w:val="18"/>
      <w:lang w:eastAsia="ru-RU"/>
    </w:rPr>
  </w:style>
  <w:style w:type="paragraph" w:styleId="825" w:customStyle="1">
    <w:name w:val="xl36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18"/>
      <w:szCs w:val="18"/>
      <w:lang w:eastAsia="ru-RU"/>
    </w:rPr>
  </w:style>
  <w:style w:type="paragraph" w:styleId="826" w:customStyle="1">
    <w:name w:val="xl37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27" w:customStyle="1">
    <w:name w:val="xl38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28" w:customStyle="1">
    <w:name w:val="xl39"/>
    <w:basedOn w:val="665"/>
    <w:qFormat/>
    <w:pPr>
      <w:spacing w:before="100" w:beforeAutospacing="1" w:after="100" w:afterAutospacing="1" w:line="240" w:lineRule="auto"/>
      <w:shd w:val="clear" w:color="auto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29" w:customStyle="1">
    <w:name w:val="Стиль11"/>
    <w:basedOn w:val="665"/>
    <w:qFormat/>
    <w:pPr>
      <w:numPr>
        <w:ilvl w:val="0"/>
        <w:numId w:val="4"/>
      </w:numPr>
      <w:ind w:left="1260" w:hanging="360"/>
      <w:jc w:val="both"/>
      <w:spacing w:after="0" w:line="240" w:lineRule="auto"/>
      <w:tabs>
        <w:tab w:val="num" w:pos="-5400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0" w:customStyle="1">
    <w:name w:val="Стиль22"/>
    <w:basedOn w:val="829"/>
    <w:qFormat/>
  </w:style>
  <w:style w:type="paragraph" w:styleId="831" w:customStyle="1">
    <w:name w:val="Нижний колонтитул1"/>
    <w:basedOn w:val="665"/>
    <w:qFormat/>
    <w:pPr>
      <w:jc w:val="right"/>
      <w:spacing w:before="100" w:beforeAutospacing="1" w:after="100" w:afterAutospacing="1" w:line="240" w:lineRule="auto"/>
    </w:pPr>
    <w:rPr>
      <w:rFonts w:ascii="Arial" w:hAnsi="Arial" w:eastAsia="Times New Roman" w:cs="Arial"/>
      <w:color w:val="34889c"/>
      <w:sz w:val="19"/>
      <w:szCs w:val="19"/>
      <w:lang w:eastAsia="ru-RU"/>
    </w:rPr>
  </w:style>
  <w:style w:type="paragraph" w:styleId="832" w:customStyle="1">
    <w:name w:val="Уровень 1"/>
    <w:basedOn w:val="772"/>
    <w:qFormat/>
    <w:pPr>
      <w:outlineLvl w:val="0"/>
    </w:pPr>
    <w:rPr>
      <w:sz w:val="24"/>
      <w:szCs w:val="24"/>
    </w:rPr>
  </w:style>
  <w:style w:type="character" w:styleId="833" w:customStyle="1">
    <w:name w:val="Стиль приложения Знак"/>
    <w:link w:val="834"/>
    <w:rPr>
      <w:b/>
      <w:bCs/>
      <w:color w:val="000000"/>
      <w:sz w:val="28"/>
      <w:szCs w:val="28"/>
      <w:shd w:val="clear" w:color="auto" w:fill="ffffff"/>
    </w:rPr>
  </w:style>
  <w:style w:type="paragraph" w:styleId="834" w:customStyle="1">
    <w:name w:val="Стиль приложения"/>
    <w:basedOn w:val="809"/>
    <w:link w:val="833"/>
    <w:qFormat/>
  </w:style>
  <w:style w:type="paragraph" w:styleId="835" w:customStyle="1">
    <w:name w:val="rvps698660"/>
    <w:basedOn w:val="665"/>
    <w:qFormat/>
    <w:pPr>
      <w:ind w:right="300"/>
      <w:spacing w:after="15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 w:customStyle="1">
    <w:name w:val="Стиль112 Знак"/>
    <w:link w:val="837"/>
    <w:rPr>
      <w:b/>
      <w:bCs/>
      <w:sz w:val="28"/>
      <w:szCs w:val="28"/>
      <w:shd w:val="clear" w:color="auto" w:fill="ffffff"/>
    </w:rPr>
  </w:style>
  <w:style w:type="paragraph" w:styleId="837" w:customStyle="1">
    <w:name w:val="Стиль112"/>
    <w:basedOn w:val="665"/>
    <w:link w:val="836"/>
    <w:qFormat/>
    <w:pPr>
      <w:jc w:val="center"/>
      <w:spacing w:after="0" w:line="240" w:lineRule="auto"/>
      <w:shd w:val="clear" w:color="auto" w:fill="ffffff"/>
      <w:outlineLvl w:val="1"/>
    </w:pPr>
    <w:rPr>
      <w:b/>
      <w:bCs/>
      <w:sz w:val="28"/>
      <w:szCs w:val="28"/>
    </w:rPr>
  </w:style>
  <w:style w:type="paragraph" w:styleId="838" w:customStyle="1">
    <w:name w:val="Стиль111"/>
    <w:basedOn w:val="665"/>
    <w:qFormat/>
    <w:pPr>
      <w:jc w:val="center"/>
      <w:spacing w:after="0" w:line="240" w:lineRule="auto"/>
      <w:shd w:val="clear" w:color="auto" w:fill="ffffff"/>
      <w:outlineLvl w:val="1"/>
    </w:pPr>
    <w:rPr>
      <w:rFonts w:ascii="Times New Roman" w:hAnsi="Times New Roman" w:eastAsia="Times New Roman" w:cs="Times New Roman"/>
      <w:b/>
      <w:bCs/>
      <w:sz w:val="52"/>
      <w:szCs w:val="52"/>
      <w:lang w:eastAsia="ru-RU"/>
    </w:rPr>
  </w:style>
  <w:style w:type="paragraph" w:styleId="839" w:customStyle="1">
    <w:name w:val="xl63"/>
    <w:basedOn w:val="665"/>
    <w:uiPriority w:val="99"/>
    <w:qFormat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0" w:customStyle="1">
    <w:name w:val="xl64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1" w:customStyle="1">
    <w:name w:val="xl65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2" w:customStyle="1">
    <w:name w:val="xl66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43" w:customStyle="1">
    <w:name w:val="xl67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4" w:customStyle="1">
    <w:name w:val="xl68"/>
    <w:basedOn w:val="665"/>
    <w:uiPriority w:val="99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5" w:customStyle="1">
    <w:name w:val="xl69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6" w:customStyle="1">
    <w:name w:val="xl70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7" w:customStyle="1">
    <w:name w:val="xl71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48" w:customStyle="1">
    <w:name w:val="xl72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49" w:customStyle="1">
    <w:name w:val="xl73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0" w:customStyle="1">
    <w:name w:val="xl74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51" w:customStyle="1">
    <w:name w:val="xl75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2" w:customStyle="1">
    <w:name w:val="xl76"/>
    <w:basedOn w:val="665"/>
    <w:uiPriority w:val="99"/>
    <w:qFormat/>
    <w:pPr>
      <w:ind w:firstLine="200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18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3" w:customStyle="1">
    <w:name w:val="xl77"/>
    <w:basedOn w:val="665"/>
    <w:uiPriority w:val="99"/>
    <w:qFormat/>
    <w:pPr>
      <w:ind w:firstLine="100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9"/>
        <w:bottom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4" w:customStyle="1">
    <w:name w:val="xl78"/>
    <w:basedOn w:val="665"/>
    <w:uiPriority w:val="99"/>
    <w:qFormat/>
    <w:pPr>
      <w:ind w:firstLine="100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5" w:customStyle="1">
    <w:name w:val="xl79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6" w:customStyle="1">
    <w:name w:val="xl80"/>
    <w:basedOn w:val="665"/>
    <w:uiPriority w:val="99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57" w:customStyle="1">
    <w:name w:val="xl81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8" w:customStyle="1">
    <w:name w:val="xl82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59" w:customStyle="1">
    <w:name w:val="xl83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0" w:customStyle="1">
    <w:name w:val="xl84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1" w:customStyle="1">
    <w:name w:val="xl85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2" w:customStyle="1">
    <w:name w:val="xl86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3" w:customStyle="1">
    <w:name w:val="xl87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4" w:customStyle="1">
    <w:name w:val="xl88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5" w:customStyle="1">
    <w:name w:val="xl89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6" w:customStyle="1">
    <w:name w:val="xl90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7" w:customStyle="1">
    <w:name w:val="xl91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8" w:customStyle="1">
    <w:name w:val="xl92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69" w:customStyle="1">
    <w:name w:val="xl93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70" w:customStyle="1">
    <w:name w:val="xl94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71" w:customStyle="1">
    <w:name w:val="xl95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72" w:customStyle="1">
    <w:name w:val="xl96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73" w:customStyle="1">
    <w:name w:val="xl97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74" w:customStyle="1">
    <w:name w:val="xl98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75" w:customStyle="1">
    <w:name w:val="xl99"/>
    <w:basedOn w:val="665"/>
    <w:uiPriority w:val="99"/>
    <w:qFormat/>
    <w:pPr>
      <w:spacing w:before="100" w:beforeAutospacing="1" w:after="100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76" w:customStyle="1">
    <w:name w:val="xl100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77" w:customStyle="1">
    <w:name w:val="xl101"/>
    <w:basedOn w:val="665"/>
    <w:uiPriority w:val="99"/>
    <w:qFormat/>
    <w:pPr>
      <w:spacing w:before="100" w:beforeAutospacing="1" w:after="100" w:afterAutospacing="1" w:line="240" w:lineRule="auto"/>
      <w:pBdr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78" w:customStyle="1">
    <w:name w:val="xl102"/>
    <w:basedOn w:val="665"/>
    <w:uiPriority w:val="99"/>
    <w:qFormat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79" w:customStyle="1">
    <w:name w:val="xl103"/>
    <w:basedOn w:val="665"/>
    <w:uiPriority w:val="99"/>
    <w:qFormat/>
    <w:pPr>
      <w:spacing w:before="100" w:beforeAutospacing="1" w:after="100" w:afterAutospacing="1" w:line="240" w:lineRule="auto"/>
      <w:pBdr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0" w:customStyle="1">
    <w:name w:val="xl104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81" w:customStyle="1">
    <w:name w:val="xl105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2" w:customStyle="1">
    <w:name w:val="xl106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3" w:customStyle="1">
    <w:name w:val="xl107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4" w:customStyle="1">
    <w:name w:val="xl108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5" w:customStyle="1">
    <w:name w:val="xl109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6" w:customStyle="1">
    <w:name w:val="xl110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b/>
      <w:bCs/>
      <w:sz w:val="24"/>
      <w:szCs w:val="24"/>
      <w:lang w:eastAsia="ru-RU"/>
    </w:rPr>
  </w:style>
  <w:style w:type="paragraph" w:styleId="887" w:customStyle="1">
    <w:name w:val="xl111"/>
    <w:basedOn w:val="665"/>
    <w:uiPriority w:val="99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88" w:customStyle="1">
    <w:name w:val="xl112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889" w:customStyle="1">
    <w:name w:val="xl113"/>
    <w:basedOn w:val="665"/>
    <w:uiPriority w:val="99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Calibri" w:hAnsi="Calibri" w:eastAsia="Times New Roman" w:cs="Times New Roman"/>
      <w:sz w:val="24"/>
      <w:szCs w:val="24"/>
      <w:lang w:eastAsia="ru-RU"/>
    </w:rPr>
  </w:style>
  <w:style w:type="character" w:styleId="890" w:customStyle="1">
    <w:name w:val="Body Text Indent Char1"/>
    <w:link w:val="891"/>
    <w:semiHidden/>
    <w:rPr>
      <w:rFonts w:ascii="TimesET" w:hAnsi="TimesET"/>
    </w:rPr>
  </w:style>
  <w:style w:type="paragraph" w:styleId="891" w:customStyle="1">
    <w:name w:val="Основной текст с отступом2"/>
    <w:basedOn w:val="665"/>
    <w:link w:val="890"/>
    <w:semiHidden/>
    <w:qFormat/>
    <w:pPr>
      <w:ind w:firstLine="720"/>
      <w:jc w:val="both"/>
      <w:spacing w:after="0" w:line="240" w:lineRule="auto"/>
    </w:pPr>
    <w:rPr>
      <w:rFonts w:ascii="TimesET" w:hAnsi="TimesET"/>
    </w:rPr>
  </w:style>
  <w:style w:type="paragraph" w:styleId="892" w:customStyle="1">
    <w:name w:val="ОИП 3"/>
    <w:basedOn w:val="665"/>
    <w:qFormat/>
    <w:pPr>
      <w:jc w:val="both"/>
      <w:spacing w:after="0" w:line="240" w:lineRule="auto"/>
      <w:widowControl w:val="off"/>
    </w:pPr>
    <w:rPr>
      <w:rFonts w:ascii="Times New Roman" w:hAnsi="Times New Roman" w:eastAsia="Times New Roman" w:cs="Times New Roman"/>
      <w:b/>
      <w:i/>
      <w:color w:val="002060"/>
      <w:sz w:val="28"/>
      <w:szCs w:val="28"/>
      <w:lang w:eastAsia="ru-RU"/>
    </w:rPr>
  </w:style>
  <w:style w:type="paragraph" w:styleId="893" w:customStyle="1">
    <w:name w:val="Заголовок4"/>
    <w:basedOn w:val="714"/>
    <w:qFormat/>
    <w:pPr>
      <w:ind w:left="0" w:firstLine="708"/>
      <w:jc w:val="both"/>
    </w:pPr>
    <w:rPr>
      <w:iCs/>
      <w:sz w:val="28"/>
      <w:szCs w:val="28"/>
    </w:rPr>
  </w:style>
  <w:style w:type="paragraph" w:styleId="894" w:customStyle="1">
    <w:name w:val="Style6"/>
    <w:basedOn w:val="665"/>
    <w:uiPriority w:val="99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 w:customStyle="1">
    <w:name w:val="Знак2 Знак Знак Знак Знак Знак Знак Знак Знак Знак"/>
    <w:basedOn w:val="665"/>
    <w:qFormat/>
    <w:pPr>
      <w:spacing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896" w:customStyle="1">
    <w:name w:val="Основной текст 23"/>
    <w:basedOn w:val="665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7" w:customStyle="1">
    <w:name w:val="Основной текст 24"/>
    <w:basedOn w:val="665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8">
    <w:name w:val="footnote reference"/>
    <w:uiPriority w:val="99"/>
    <w:unhideWhenUsed/>
    <w:rPr>
      <w:vertAlign w:val="superscript"/>
    </w:rPr>
  </w:style>
  <w:style w:type="character" w:styleId="899">
    <w:name w:val="annotation reference"/>
    <w:uiPriority w:val="99"/>
    <w:unhideWhenUsed/>
    <w:rPr>
      <w:sz w:val="16"/>
      <w:szCs w:val="16"/>
    </w:rPr>
  </w:style>
  <w:style w:type="character" w:styleId="900">
    <w:name w:val="endnote reference"/>
    <w:uiPriority w:val="99"/>
    <w:unhideWhenUsed/>
    <w:rPr>
      <w:vertAlign w:val="superscript"/>
    </w:rPr>
  </w:style>
  <w:style w:type="character" w:styleId="901" w:customStyle="1">
    <w:name w:val="Font Style16"/>
    <w:rPr>
      <w:rFonts w:hint="default" w:ascii="Times New Roman" w:hAnsi="Times New Roman" w:cs="Times New Roman"/>
      <w:color w:val="000000"/>
      <w:sz w:val="18"/>
      <w:szCs w:val="18"/>
    </w:rPr>
  </w:style>
  <w:style w:type="character" w:styleId="902" w:customStyle="1">
    <w:name w:val="Верхний колонтитул Знак1"/>
    <w:uiPriority w:val="99"/>
    <w:semiHidden/>
    <w:rPr>
      <w:sz w:val="24"/>
      <w:szCs w:val="24"/>
    </w:rPr>
  </w:style>
  <w:style w:type="character" w:styleId="903" w:customStyle="1">
    <w:name w:val="Нижний колонтитул Знак1"/>
    <w:uiPriority w:val="99"/>
    <w:semiHidden/>
    <w:rPr>
      <w:sz w:val="24"/>
      <w:szCs w:val="24"/>
    </w:rPr>
  </w:style>
  <w:style w:type="character" w:styleId="904" w:customStyle="1">
    <w:name w:val="Текст выноски Знак1"/>
    <w:uiPriority w:val="99"/>
    <w:semiHidden/>
    <w:rPr>
      <w:rFonts w:ascii="Tahoma" w:hAnsi="Tahoma" w:cs="Tahoma"/>
      <w:sz w:val="16"/>
      <w:szCs w:val="16"/>
    </w:rPr>
  </w:style>
  <w:style w:type="character" w:styleId="905" w:customStyle="1">
    <w:name w:val="b-serp-url__item1"/>
  </w:style>
  <w:style w:type="character" w:styleId="906" w:customStyle="1">
    <w:name w:val="b-serp-url__mark1"/>
  </w:style>
  <w:style w:type="character" w:styleId="907" w:customStyle="1">
    <w:name w:val="Основной текст 2 Знак1"/>
    <w:uiPriority w:val="99"/>
    <w:semiHidden/>
    <w:rPr>
      <w:sz w:val="24"/>
      <w:szCs w:val="24"/>
    </w:rPr>
  </w:style>
  <w:style w:type="paragraph" w:styleId="908">
    <w:name w:val="No Spacing"/>
    <w:link w:val="734"/>
    <w:qFormat/>
    <w:pPr>
      <w:spacing w:after="0" w:line="240" w:lineRule="auto"/>
    </w:pPr>
    <w:rPr>
      <w:rFonts w:ascii="Calibri" w:hAnsi="Calibri"/>
    </w:rPr>
  </w:style>
  <w:style w:type="character" w:styleId="909" w:customStyle="1">
    <w:name w:val="highlight"/>
  </w:style>
  <w:style w:type="character" w:styleId="910" w:customStyle="1">
    <w:name w:val="Гипертекстовая ссылка"/>
    <w:uiPriority w:val="99"/>
    <w:rPr>
      <w:rFonts w:hint="default" w:ascii="Times New Roman" w:hAnsi="Times New Roman" w:cs="Times New Roman"/>
      <w:b/>
      <w:bCs w:val="0"/>
      <w:color w:val="008000"/>
    </w:rPr>
  </w:style>
  <w:style w:type="paragraph" w:styleId="911">
    <w:name w:val="Body Text Indent 2"/>
    <w:basedOn w:val="665"/>
    <w:link w:val="728"/>
    <w:unhideWhenUsed/>
    <w:pPr>
      <w:ind w:left="283"/>
      <w:spacing w:after="120" w:line="480" w:lineRule="auto"/>
    </w:pPr>
    <w:rPr>
      <w:sz w:val="24"/>
      <w:szCs w:val="24"/>
    </w:rPr>
  </w:style>
  <w:style w:type="character" w:styleId="912" w:customStyle="1">
    <w:name w:val="Основной текст с отступом 2 Знак1"/>
    <w:basedOn w:val="672"/>
    <w:uiPriority w:val="99"/>
  </w:style>
  <w:style w:type="character" w:styleId="913" w:customStyle="1">
    <w:name w:val="Char Style 8"/>
    <w:rPr>
      <w:b/>
      <w:bCs/>
      <w:sz w:val="27"/>
      <w:szCs w:val="27"/>
      <w:lang w:eastAsia="ar-SA" w:bidi="ar-SA"/>
    </w:rPr>
  </w:style>
  <w:style w:type="character" w:styleId="914" w:customStyle="1">
    <w:name w:val="Font Style12"/>
    <w:rPr>
      <w:rFonts w:hint="default" w:ascii="Times New Roman" w:hAnsi="Times New Roman" w:cs="Times New Roman"/>
      <w:sz w:val="24"/>
      <w:szCs w:val="24"/>
    </w:rPr>
  </w:style>
  <w:style w:type="character" w:styleId="915" w:customStyle="1">
    <w:name w:val="Font Style22"/>
    <w:rPr>
      <w:rFonts w:hint="default" w:ascii="Times New Roman" w:hAnsi="Times New Roman" w:cs="Times New Roman"/>
      <w:sz w:val="26"/>
      <w:szCs w:val="26"/>
    </w:rPr>
  </w:style>
  <w:style w:type="character" w:styleId="916" w:customStyle="1">
    <w:name w:val="Название Знак1"/>
    <w:link w:val="720"/>
    <w:uiPriority w:val="99"/>
    <w:rPr>
      <w:rFonts w:ascii="Cambria" w:hAnsi="Cambria" w:eastAsia="Times New Roman" w:cs="Times New Roman"/>
      <w:b/>
      <w:bCs/>
      <w:sz w:val="32"/>
      <w:szCs w:val="32"/>
    </w:rPr>
  </w:style>
  <w:style w:type="paragraph" w:styleId="917">
    <w:name w:val="Body Text Indent 3"/>
    <w:basedOn w:val="665"/>
    <w:link w:val="729"/>
    <w:unhideWhenUsed/>
    <w:pPr>
      <w:ind w:left="283"/>
      <w:spacing w:after="120" w:line="240" w:lineRule="auto"/>
    </w:pPr>
    <w:rPr>
      <w:sz w:val="16"/>
      <w:szCs w:val="16"/>
    </w:rPr>
  </w:style>
  <w:style w:type="character" w:styleId="918" w:customStyle="1">
    <w:name w:val="Основной текст с отступом 3 Знак1"/>
    <w:basedOn w:val="672"/>
    <w:rPr>
      <w:sz w:val="16"/>
      <w:szCs w:val="16"/>
    </w:rPr>
  </w:style>
  <w:style w:type="character" w:styleId="919" w:customStyle="1">
    <w:name w:val="Цветовое выделение"/>
    <w:uiPriority w:val="99"/>
    <w:rPr>
      <w:b/>
      <w:bCs w:val="0"/>
      <w:color w:val="26282f"/>
      <w:sz w:val="26"/>
    </w:rPr>
  </w:style>
  <w:style w:type="paragraph" w:styleId="920">
    <w:name w:val="Body Text 3"/>
    <w:basedOn w:val="665"/>
    <w:link w:val="727"/>
    <w:uiPriority w:val="99"/>
    <w:unhideWhenUsed/>
    <w:pPr>
      <w:spacing w:after="120" w:line="240" w:lineRule="auto"/>
    </w:pPr>
    <w:rPr>
      <w:sz w:val="16"/>
      <w:szCs w:val="16"/>
    </w:rPr>
  </w:style>
  <w:style w:type="character" w:styleId="921" w:customStyle="1">
    <w:name w:val="Основной текст 3 Знак1"/>
    <w:basedOn w:val="672"/>
    <w:uiPriority w:val="99"/>
    <w:rPr>
      <w:sz w:val="16"/>
      <w:szCs w:val="16"/>
    </w:rPr>
  </w:style>
  <w:style w:type="character" w:styleId="922" w:customStyle="1">
    <w:name w:val="text"/>
  </w:style>
  <w:style w:type="paragraph" w:styleId="923">
    <w:name w:val="Body Text First Indent"/>
    <w:basedOn w:val="689"/>
    <w:link w:val="726"/>
    <w:unhideWhenUsed/>
    <w:pPr>
      <w:ind w:firstLine="360"/>
      <w:spacing w:after="0"/>
    </w:pPr>
    <w:rPr>
      <w:rFonts w:asciiTheme="minorHAnsi" w:hAnsiTheme="minorHAnsi" w:eastAsiaTheme="minorHAnsi" w:cstheme="minorBidi"/>
      <w:b w:val="0"/>
      <w:sz w:val="22"/>
      <w:szCs w:val="22"/>
      <w:lang w:val="ru-RU" w:eastAsia="en-US"/>
    </w:rPr>
  </w:style>
  <w:style w:type="character" w:styleId="924" w:customStyle="1">
    <w:name w:val="Красная строка Знак1"/>
    <w:basedOn w:val="690"/>
  </w:style>
  <w:style w:type="character" w:styleId="925" w:customStyle="1">
    <w:name w:val="Основной текст Знак2"/>
    <w:link w:val="689"/>
    <w:rPr>
      <w:rFonts w:ascii="Pragmatica" w:hAnsi="Pragmatica" w:eastAsia="Times New Roman" w:cs="Times New Roman"/>
      <w:b/>
      <w:sz w:val="20"/>
      <w:szCs w:val="20"/>
    </w:rPr>
  </w:style>
  <w:style w:type="character" w:styleId="926" w:customStyle="1">
    <w:name w:val="fontstyle14"/>
    <w:uiPriority w:val="99"/>
    <w:rPr>
      <w:rFonts w:hint="default" w:ascii="Times New Roman" w:hAnsi="Times New Roman" w:cs="Times New Roman"/>
      <w:b/>
      <w:bCs/>
    </w:rPr>
  </w:style>
  <w:style w:type="paragraph" w:styleId="927">
    <w:name w:val="Subtitle"/>
    <w:basedOn w:val="665"/>
    <w:next w:val="665"/>
    <w:link w:val="724"/>
    <w:uiPriority w:val="11"/>
    <w:qFormat/>
    <w:pPr>
      <w:numPr>
        <w:ilvl w:val="1"/>
      </w:numPr>
      <w:spacing w:after="0" w:line="240" w:lineRule="auto"/>
    </w:pPr>
    <w:rPr>
      <w:b/>
      <w:sz w:val="24"/>
    </w:rPr>
  </w:style>
  <w:style w:type="character" w:styleId="928" w:customStyle="1">
    <w:name w:val="Подзаголовок Знак1"/>
    <w:basedOn w:val="672"/>
    <w:rPr>
      <w:rFonts w:eastAsiaTheme="minorEastAsia"/>
      <w:color w:val="5a5a5a" w:themeColor="text1" w:themeTint="A5"/>
      <w:spacing w:val="15"/>
    </w:rPr>
  </w:style>
  <w:style w:type="paragraph" w:styleId="929">
    <w:name w:val="endnote text"/>
    <w:basedOn w:val="665"/>
    <w:link w:val="719"/>
    <w:uiPriority w:val="99"/>
    <w:unhideWhenUsed/>
    <w:pPr>
      <w:spacing w:after="0" w:line="240" w:lineRule="auto"/>
    </w:pPr>
    <w:rPr>
      <w:rFonts w:ascii="Calibri" w:hAnsi="Calibri"/>
    </w:rPr>
  </w:style>
  <w:style w:type="character" w:styleId="930" w:customStyle="1">
    <w:name w:val="Текст концевой сноски Знак1"/>
    <w:basedOn w:val="672"/>
    <w:uiPriority w:val="99"/>
    <w:rPr>
      <w:sz w:val="20"/>
      <w:szCs w:val="20"/>
    </w:rPr>
  </w:style>
  <w:style w:type="character" w:styleId="931" w:customStyle="1">
    <w:name w:val="apple-style-span"/>
  </w:style>
  <w:style w:type="paragraph" w:styleId="932">
    <w:name w:val="Plain Text"/>
    <w:basedOn w:val="665"/>
    <w:link w:val="730"/>
    <w:uiPriority w:val="99"/>
    <w:unhideWhenUsed/>
    <w:pPr>
      <w:spacing w:after="0" w:line="240" w:lineRule="auto"/>
    </w:pPr>
    <w:rPr>
      <w:rFonts w:ascii="Consolas" w:hAnsi="Consolas"/>
      <w:sz w:val="21"/>
      <w:szCs w:val="21"/>
    </w:rPr>
  </w:style>
  <w:style w:type="character" w:styleId="933" w:customStyle="1">
    <w:name w:val="Текст Знак1"/>
    <w:basedOn w:val="672"/>
    <w:uiPriority w:val="99"/>
    <w:rPr>
      <w:rFonts w:ascii="Consolas" w:hAnsi="Consolas"/>
      <w:sz w:val="21"/>
      <w:szCs w:val="21"/>
    </w:rPr>
  </w:style>
  <w:style w:type="character" w:styleId="934" w:customStyle="1">
    <w:name w:val="Знак Знак6 Знак"/>
    <w:rPr>
      <w:sz w:val="24"/>
      <w:szCs w:val="24"/>
      <w:lang w:val="ru-RU" w:eastAsia="ru-RU" w:bidi="ar-SA"/>
    </w:rPr>
  </w:style>
  <w:style w:type="paragraph" w:styleId="935">
    <w:name w:val="annotation subject"/>
    <w:basedOn w:val="731"/>
    <w:next w:val="731"/>
    <w:link w:val="733"/>
    <w:uiPriority w:val="99"/>
    <w:unhideWhenUsed/>
    <w:rPr>
      <w:b/>
      <w:bCs/>
    </w:rPr>
  </w:style>
  <w:style w:type="character" w:styleId="936" w:customStyle="1">
    <w:name w:val="Тема примечания Знак1"/>
    <w:basedOn w:val="732"/>
    <w:rPr>
      <w:b/>
      <w:bCs/>
      <w:sz w:val="20"/>
      <w:szCs w:val="20"/>
    </w:rPr>
  </w:style>
  <w:style w:type="table" w:styleId="937" w:customStyle="1">
    <w:name w:val="Сетка таблицы11"/>
    <w:basedOn w:val="673"/>
    <w:next w:val="676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8" w:customStyle="1">
    <w:name w:val="Комментарий"/>
    <w:basedOn w:val="761"/>
    <w:next w:val="665"/>
    <w:uiPriority w:val="99"/>
    <w:qFormat/>
    <w:pPr>
      <w:ind w:left="0" w:right="0"/>
      <w:jc w:val="both"/>
      <w:spacing w:before="75"/>
      <w:shd w:val="clear" w:color="auto" w:fill="f0f0f0"/>
    </w:pPr>
    <w:rPr>
      <w:color w:val="353842"/>
    </w:rPr>
  </w:style>
  <w:style w:type="paragraph" w:styleId="939" w:customStyle="1">
    <w:name w:val="Информация об изменениях документа"/>
    <w:basedOn w:val="938"/>
    <w:next w:val="665"/>
    <w:uiPriority w:val="99"/>
    <w:qFormat/>
    <w:pPr>
      <w:spacing w:before="0"/>
    </w:pPr>
    <w:rPr>
      <w:i/>
      <w:iCs/>
    </w:rPr>
  </w:style>
  <w:style w:type="numbering" w:styleId="940" w:customStyle="1">
    <w:name w:val="Стиль2"/>
    <w:pPr>
      <w:numPr>
        <w:ilvl w:val="0"/>
        <w:numId w:val="5"/>
      </w:numPr>
    </w:pPr>
  </w:style>
  <w:style w:type="numbering" w:styleId="941" w:customStyle="1">
    <w:name w:val="Стиль21"/>
  </w:style>
  <w:style w:type="table" w:styleId="942" w:customStyle="1">
    <w:name w:val="Средняя сетка 21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numbering" w:styleId="943" w:customStyle="1">
    <w:name w:val="Нет списка2"/>
    <w:next w:val="674"/>
    <w:uiPriority w:val="99"/>
    <w:semiHidden/>
    <w:unhideWhenUsed/>
  </w:style>
  <w:style w:type="table" w:styleId="944" w:customStyle="1">
    <w:name w:val="Сетка таблицы2"/>
    <w:basedOn w:val="673"/>
    <w:next w:val="676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45" w:customStyle="1">
    <w:name w:val="Нет списка111"/>
    <w:next w:val="674"/>
    <w:uiPriority w:val="99"/>
    <w:semiHidden/>
    <w:unhideWhenUsed/>
  </w:style>
  <w:style w:type="numbering" w:styleId="946" w:customStyle="1">
    <w:name w:val="Стиль23"/>
  </w:style>
  <w:style w:type="numbering" w:styleId="947" w:customStyle="1">
    <w:name w:val="Стиль211"/>
  </w:style>
  <w:style w:type="table" w:styleId="948" w:customStyle="1">
    <w:name w:val="Средняя сетка 211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49" w:customStyle="1">
    <w:name w:val="Средняя сетка 22"/>
    <w:basedOn w:val="673"/>
    <w:unhideWhenUsed/>
    <w:pPr>
      <w:spacing w:after="0" w:line="240" w:lineRule="auto"/>
    </w:pPr>
    <w:rPr>
      <w:rFonts w:ascii="Calibri" w:hAnsi="Calibri" w:eastAsia="Calibri" w:cs="Times New Roman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paragraph" w:styleId="950" w:customStyle="1">
    <w:name w:val="Знак Знак Знак Знак Знак Знак Знак Знак Знак Знак Знак Знак Знак1"/>
    <w:basedOn w:val="665"/>
    <w:pPr>
      <w:spacing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table" w:styleId="951" w:customStyle="1">
    <w:name w:val="Сетка таблицы3"/>
    <w:basedOn w:val="673"/>
    <w:next w:val="67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2" w:customStyle="1">
    <w:name w:val="Основной текст 25"/>
    <w:basedOn w:val="665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53" w:customStyle="1">
    <w:name w:val="p49"/>
    <w:basedOn w:val="665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4" w:customStyle="1">
    <w:name w:val="Основной текст 251"/>
    <w:basedOn w:val="665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5" w:customStyle="1">
    <w:name w:val="Основной текст Знак3"/>
    <w:semiHidden/>
    <w:rPr>
      <w:rFonts w:ascii="Pragmatica" w:hAnsi="Pragmatica"/>
      <w:b/>
    </w:rPr>
  </w:style>
  <w:style w:type="table" w:styleId="956" w:customStyle="1">
    <w:name w:val="Средняя сетка 23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57" w:customStyle="1">
    <w:name w:val="Средняя сетка 24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58" w:customStyle="1">
    <w:name w:val="Средняя сетка 212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59" w:customStyle="1">
    <w:name w:val="Средняя сетка 231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60" w:customStyle="1">
    <w:name w:val="Средняя сетка 241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61" w:customStyle="1">
    <w:name w:val="Средняя сетка 25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62" w:customStyle="1">
    <w:name w:val="Средняя сетка 242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63" w:customStyle="1">
    <w:name w:val="Средняя сетка 26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table" w:styleId="964" w:customStyle="1">
    <w:name w:val="Средняя сетка 243"/>
    <w:basedOn w:val="673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band1Horz">
      <w:tcPr>
        <w:shd w:val="clear" w:color="auto" w:fill="808080"/>
      </w:tcPr>
    </w:tblStylePr>
    <w:tblStylePr w:type="band1Vert">
      <w:tcPr>
        <w:shd w:val="clear" w:color="auto" w:fill="808080"/>
      </w:tcPr>
    </w:tblStylePr>
    <w:tblStylePr w:type="firstCol"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tcPr>
        <w:shd w:val="clear" w:color="auto" w:fill="e6e6e6"/>
      </w:tcPr>
    </w:tblStylePr>
    <w:tblStylePr w:type="lastCol">
      <w:tcPr>
        <w:shd w:val="clear" w:color="auto" w:fill="cccccc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tcPr>
        <w:shd w:val="clear" w:color="auto" w:fill="ffffff"/>
        <w:tcBorders>
          <w:top w:val="single" w:color="000000" w:sz="12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tcPr>
        <w:shd w:val="clear" w:color="auto" w:fill="ffffff"/>
      </w:tcPr>
    </w:tblStylePr>
  </w:style>
  <w:style w:type="numbering" w:styleId="965" w:customStyle="1">
    <w:name w:val="Стиль24"/>
  </w:style>
  <w:style w:type="numbering" w:styleId="966" w:customStyle="1">
    <w:name w:val="Стиль212"/>
  </w:style>
  <w:style w:type="numbering" w:styleId="967" w:customStyle="1">
    <w:name w:val="Стиль231"/>
  </w:style>
  <w:style w:type="numbering" w:styleId="968" w:customStyle="1">
    <w:name w:val="Стиль241"/>
  </w:style>
  <w:style w:type="numbering" w:styleId="969" w:customStyle="1">
    <w:name w:val="Стиль2121"/>
  </w:style>
  <w:style w:type="numbering" w:styleId="970" w:customStyle="1">
    <w:name w:val="Стиль2311"/>
  </w:style>
  <w:style w:type="table" w:styleId="971" w:customStyle="1">
    <w:name w:val="Сетка таблицы21"/>
    <w:basedOn w:val="673"/>
    <w:next w:val="676"/>
    <w:uiPriority w:val="3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2" w:customStyle="1">
    <w:name w:val="Сетка таблицы22"/>
    <w:basedOn w:val="673"/>
    <w:next w:val="676"/>
    <w:uiPriority w:val="3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73" w:customStyle="1">
    <w:name w:val="Нет списка3"/>
    <w:next w:val="674"/>
    <w:uiPriority w:val="99"/>
    <w:semiHidden/>
    <w:unhideWhenUsed/>
  </w:style>
  <w:style w:type="table" w:styleId="974" w:customStyle="1">
    <w:name w:val="Сетка таблицы4"/>
    <w:basedOn w:val="673"/>
    <w:next w:val="676"/>
    <w:uiPriority w:val="5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5" w:customStyle="1">
    <w:name w:val="Сетка таблицы23"/>
    <w:basedOn w:val="673"/>
    <w:next w:val="676"/>
    <w:uiPriority w:val="3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6" w:customStyle="1">
    <w:name w:val="Сетка таблицы14"/>
    <w:basedOn w:val="673"/>
    <w:uiPriority w:val="3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7" w:customStyle="1">
    <w:name w:val="Font Style26"/>
    <w:uiPriority w:val="99"/>
    <w:rPr>
      <w:rFonts w:ascii="Times New Roman" w:hAnsi="Times New Roman"/>
      <w:sz w:val="26"/>
    </w:rPr>
  </w:style>
  <w:style w:type="paragraph" w:styleId="978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szCs w:val="20"/>
      <w:lang w:eastAsia="ru-RU"/>
    </w:rPr>
  </w:style>
  <w:style w:type="table" w:styleId="979" w:customStyle="1">
    <w:name w:val="Сетка таблицы12"/>
    <w:basedOn w:val="673"/>
    <w:next w:val="676"/>
    <w:uiPriority w:val="59"/>
    <w:pPr>
      <w:spacing w:after="0" w:line="240" w:lineRule="auto"/>
    </w:pPr>
    <w:rPr>
      <w:rFonts w:cs="Times New Roman" w:eastAsiaTheme="minorEastAsi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0">
    <w:name w:val="Revision"/>
    <w:hidden/>
    <w:uiPriority w:val="99"/>
    <w:semiHidden/>
    <w:pPr>
      <w:spacing w:after="0" w:line="240" w:lineRule="auto"/>
    </w:pPr>
    <w:rPr>
      <w:rFonts w:ascii="Times New Roman" w:hAnsi="Times New Roman" w:cs="Times New Roman" w:eastAsiaTheme="minorEastAsia"/>
      <w:sz w:val="28"/>
      <w:szCs w:val="20"/>
      <w:lang w:eastAsia="ru-RU"/>
    </w:rPr>
  </w:style>
  <w:style w:type="character" w:styleId="981" w:customStyle="1">
    <w:name w:val="Неразрешенное упоминание1"/>
    <w:basedOn w:val="672"/>
    <w:uiPriority w:val="99"/>
    <w:semiHidden/>
    <w:unhideWhenUsed/>
    <w:rPr>
      <w:color w:val="605e5c"/>
      <w:shd w:val="clear" w:color="auto" w:fill="e1dfdd"/>
    </w:rPr>
  </w:style>
  <w:style w:type="character" w:styleId="982" w:customStyle="1">
    <w:name w:val="Unresolved Mention"/>
    <w:basedOn w:val="67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BAB2A-D085-419A-92A3-A6E62B77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Лали Зурабовна Буркова</dc:creator>
  <cp:keywords/>
  <dc:description/>
  <cp:lastModifiedBy>OtchenashSV</cp:lastModifiedBy>
  <cp:revision>3</cp:revision>
  <dcterms:created xsi:type="dcterms:W3CDTF">2025-12-11T12:11:00Z</dcterms:created>
  <dcterms:modified xsi:type="dcterms:W3CDTF">2025-12-11T12:18:08Z</dcterms:modified>
</cp:coreProperties>
</file>